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0"/>
        <w:jc w:val="center"/>
      </w:pPr>
      <w:r>
        <w:drawing>
          <wp:inline xmlns:a="http://schemas.openxmlformats.org/drawingml/2006/main" xmlns:pic="http://schemas.openxmlformats.org/drawingml/2006/picture">
            <wp:extent cx="2340000" cy="76885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neles-solares-chihuahua-financiamiento-cotizacion-credito-energia-solar-cibanco-solarpro-sustainable-energy-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768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0"/>
        <w:jc w:val="center"/>
      </w:pPr>
      <w:r>
        <w:rPr>
          <w:rFonts w:ascii="Calibri" w:hAnsi="Calibri"/>
          <w:b/>
          <w:color w:val="595959"/>
          <w:sz w:val="22"/>
        </w:rPr>
        <w:t>SISTEMA DE GESTIÓN DE CALIDAD ISO 9001:2015</w:t>
      </w:r>
    </w:p>
    <w:p>
      <w:pPr>
        <w:spacing w:before="120" w:after="40"/>
        <w:jc w:val="center"/>
      </w:pPr>
      <w:r>
        <w:rPr>
          <w:rFonts w:ascii="Georgia" w:hAnsi="Georgia"/>
          <w:b/>
          <w:color w:val="0056B4"/>
          <w:sz w:val="60"/>
        </w:rPr>
        <w:t>Acuerdo de Confidencialidad y Manejo de Informacion del Cliente</w:t>
      </w:r>
    </w:p>
    <w:p>
      <w:pPr>
        <w:jc w:val="center"/>
      </w:pPr>
      <w:r>
        <w:rPr>
          <w:color w:val="F0E528"/>
          <w:sz w:val="24"/>
        </w:rPr>
        <w:t>________</w:t>
      </w:r>
    </w:p>
    <w:p>
      <w:pPr>
        <w:jc w:val="center"/>
      </w:pPr>
      <w:r>
        <w:rPr>
          <w:rFonts w:ascii="Georgia" w:hAnsi="Georgia"/>
          <w:i/>
          <w:color w:val="595959"/>
          <w:sz w:val="26"/>
        </w:rPr>
        <w:t>SolarPro · Sistema de Gestión de Calidad ISO 9001:2015</w:t>
      </w:r>
    </w:p>
    <w:p>
      <w:pPr>
        <w:spacing w:before="600"/>
        <w:jc w:val="center"/>
      </w:pPr>
      <w:r>
        <w:rPr>
          <w:b/>
          <w:color w:val="1C242E"/>
          <w:sz w:val="22"/>
        </w:rPr>
        <w:t>Soluciones Energéticas JEA S.A. de C.V. (SolarPro)</w:t>
      </w:r>
    </w:p>
    <w:p>
      <w:pPr>
        <w:jc w:val="center"/>
      </w:pPr>
      <w:r>
        <w:rPr>
          <w:color w:val="595959"/>
          <w:sz w:val="20"/>
        </w:rPr>
        <w:t>ACU-CONF-001  ·  Versión 1  ·  17 de septiembre de 2026</w:t>
      </w:r>
    </w:p>
    <w:p>
      <w:pPr>
        <w:spacing w:before="120"/>
        <w:jc w:val="center"/>
      </w:pPr>
      <w:r>
        <w:rPr>
          <w:color w:val="595959"/>
          <w:sz w:val="18"/>
        </w:rPr>
        <w:t>Elaboró DETA Consultores</w:t>
      </w:r>
    </w:p>
    <w:p>
      <w:pPr>
        <w:jc w:val="center"/>
      </w:pPr>
      <w:r>
        <w:rPr>
          <w:i/>
          <w:color w:val="595959"/>
          <w:sz w:val="18"/>
        </w:rPr>
        <w:t>Borrador para validación</w:t>
      </w:r>
    </w:p>
    <w:p>
      <w:r>
        <w:br w:type="page"/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CONTROL DEL DOCUMENTO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</w:tblPr>
      <w:tblGrid>
        <w:gridCol w:w="4986"/>
        <w:gridCol w:w="4986"/>
      </w:tblGrid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Código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ACU-CONF-001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Versión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1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Estado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Borrador para validación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Fecha de emisión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17 de septiembre de 2026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Fecha de revisión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Septiembre 2027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Custodio del documento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Gerencia Administrativa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Elabora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DETA Consultores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Revisa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Gerencia Administrativa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Aprueba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Dirección General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Clasificación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Interno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Razón social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Soluciones Energéticas JEA S.A. de C.V. (SolarPro)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RFC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SEJ151105UV7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Sitios cubiertos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Matriz Chihuahua; operación Ciudad Juárez</w:t>
            </w:r>
          </w:p>
        </w:tc>
      </w:tr>
    </w:tbl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HISTORIAL DE REVISIONES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1197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Versión</w:t>
            </w:r>
          </w:p>
        </w:tc>
        <w:tc>
          <w:tcPr>
            <w:tcW w:type="dxa" w:w="159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Fecha</w:t>
            </w:r>
          </w:p>
        </w:tc>
        <w:tc>
          <w:tcPr>
            <w:tcW w:type="dxa" w:w="558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Descripción del cambio</w:t>
            </w:r>
          </w:p>
        </w:tc>
        <w:tc>
          <w:tcPr>
            <w:tcW w:type="dxa" w:w="159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Elaboró</w:t>
            </w:r>
          </w:p>
        </w:tc>
      </w:tr>
      <w:tr>
        <w:tc>
          <w:tcPr>
            <w:tcW w:type="dxa" w:w="1197"/>
          </w:tcPr>
          <w:p>
            <w:r/>
            <w:r>
              <w:rPr>
                <w:rFonts w:ascii="Calibri" w:hAnsi="Calibri"/>
                <w:b w:val="0"/>
                <w:sz w:val="19"/>
              </w:rPr>
              <w:t>1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17 de septiembre de 2026</w:t>
            </w:r>
          </w:p>
        </w:tc>
        <w:tc>
          <w:tcPr>
            <w:tcW w:type="dxa" w:w="5584"/>
          </w:tcPr>
          <w:p>
            <w:r/>
            <w:r>
              <w:rPr>
                <w:rFonts w:ascii="Calibri" w:hAnsi="Calibri"/>
                <w:b w:val="0"/>
                <w:sz w:val="19"/>
              </w:rPr>
              <w:t>Emisión inicial derivada de la cláusula 8.5.3 del SGC (ISO 9001:2015).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DETA Consultores</w:t>
            </w:r>
          </w:p>
        </w:tc>
      </w:tr>
    </w:tbl>
    <w:p>
      <w:r>
        <w:br w:type="page"/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CONTENIDO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r>
        <w:br w:type="page"/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1. Objetivo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Establecer los lineamientos para identificar, verificar, resguardar, registrar y devolver la propiedad perteneciente a los clientes de Soluciones Energeticas JEA, S.A. de C.V. (marcas SolarPro y Capital Climas), y formalizar el compromiso de confidencialidad del personal que accede a informacion, accesos e instalaciones del cliente durante las visitas tecnicas y comerciales, en cumplimiento de la clausula 8.5.3 de ISO 9001:2015.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2. Alcance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Aplica a todo el personal propio y subcontratado que, en el marco de los procesos de Comercial (PRO-VEN), Ingenieria (PRO-ING), Instalaciones y Operaciones (PRO-OPE), Postventa (PRO-PVM) y Almacen (PRO-ALM), tenga acceso a bienes, accesos, documentos o informacion propiedad del cliente, en las sedes de Chihuahua y Ciudad Juarez.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3. Definiciones</w:t>
      </w:r>
    </w:p>
    <w:p>
      <w:pPr>
        <w:pStyle w:val="ListBullet"/>
      </w:pPr>
      <w:r>
        <w:rPr>
          <w:rFonts w:ascii="Calibri" w:hAnsi="Calibri"/>
          <w:sz w:val="20"/>
        </w:rPr>
        <w:t>Propiedad del cliente: todo bien fisico o intangible proporcionado por el cliente o al que se accede en sus instalaciones para la prestacion del servicio, incluyendo accesos digitales, documentacion tecnica y bienes fisicos.</w:t>
      </w:r>
    </w:p>
    <w:p>
      <w:pPr>
        <w:pStyle w:val="ListBullet"/>
      </w:pPr>
      <w:r>
        <w:rPr>
          <w:rFonts w:ascii="Calibri" w:hAnsi="Calibri"/>
          <w:sz w:val="20"/>
        </w:rPr>
        <w:t>Informacion confidencial: datos no publicos del cliente, en particular la clave o credenciales de acceso al portal CFE, recibos y datos de consumo electrico, planos, ubicacion del domicilio y cualquier dato personal o comercial conocido durante la visita.</w:t>
      </w:r>
    </w:p>
    <w:p>
      <w:pPr>
        <w:pStyle w:val="ListBullet"/>
      </w:pPr>
      <w:r>
        <w:rPr>
          <w:rFonts w:ascii="Calibri" w:hAnsi="Calibri"/>
          <w:sz w:val="20"/>
        </w:rPr>
        <w:t>Verificacion: revision del estado, la cantidad o la condicion aparente de la propiedad y los accesos del cliente al momento de recibirlos, dejando constancia de su resultado en el acuerdo de recepcion.</w:t>
      </w:r>
    </w:p>
    <w:p>
      <w:pPr>
        <w:pStyle w:val="ListBullet"/>
      </w:pPr>
      <w:r>
        <w:rPr>
          <w:rFonts w:ascii="Calibri" w:hAnsi="Calibri"/>
          <w:sz w:val="20"/>
        </w:rPr>
        <w:t>Acuerdo de recepcion: registro firmado que evidencia la entrega y recepcion de la propiedad y accesos del cliente, el estado o condicion de dicha propiedad al momento de recibirla, y la aceptacion del compromiso de confidencialidad.</w:t>
      </w:r>
    </w:p>
    <w:p>
      <w:pPr>
        <w:pStyle w:val="ListBullet"/>
      </w:pPr>
      <w:r>
        <w:rPr>
          <w:rFonts w:ascii="Calibri" w:hAnsi="Calibri"/>
          <w:sz w:val="20"/>
        </w:rPr>
        <w:t>Devolucion: acto de reintegrar al cliente las llaves, controles y accesos fisicos entregados, al cierre de la visita.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4. Responsabilidades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4986"/>
        <w:gridCol w:w="4986"/>
      </w:tblGrid>
      <w:tr>
        <w:tc>
          <w:tcPr>
            <w:tcW w:type="dxa" w:w="498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Rol</w:t>
            </w:r>
          </w:p>
        </w:tc>
        <w:tc>
          <w:tcPr>
            <w:tcW w:type="dxa" w:w="498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Responsabilidad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 (custodio del SGC)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Controlar este acuerdo, resguardar los formatos firmados y verificar su uso en las visitas.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Coordinacion de Ingenieria e Instalaciones/Operaciones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Asegurar que el acuerdo se firme al inicio de cada visita con acceso a propiedad del cliente, que se verifique y registre el estado o condicion de la propiedad al recibirla, y que los accesos fisicos se devuelvan al cierre.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Comercial y Postventa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Identificar en la programacion de la visita si se requerira acceso a informacion o bienes del cliente y preparar el formato.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Personal propio y subcontratado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Firmar el acuerdo, verificar y reportar el estado de la propiedad al recibirla, tratar la informacion como confidencial y usar los accesos solo para el servicio contratado.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Almacen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Resguardar bienes fisicos del cliente que ingresen a instalaciones de la empresa, verificar su estado y registrarlos.</w:t>
            </w:r>
          </w:p>
        </w:tc>
      </w:tr>
    </w:tbl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5. Manejo y Registro de Propiedad del Cliente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Toda propiedad del cliente a la que se accede durante la visita se identifica, se verifica en su estado o condicion al recibirla, se registra y se resguarda con acceso limitado al personal que ejecuta el servicio. Se clasifica de la siguiente forma: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3324"/>
        <w:gridCol w:w="3324"/>
        <w:gridCol w:w="3324"/>
      </w:tblGrid>
      <w:tr>
        <w:tc>
          <w:tcPr>
            <w:tcW w:type="dxa" w:w="332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Tipo</w:t>
            </w:r>
          </w:p>
        </w:tc>
        <w:tc>
          <w:tcPr>
            <w:tcW w:type="dxa" w:w="332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Ejemplos</w:t>
            </w:r>
          </w:p>
        </w:tc>
        <w:tc>
          <w:tcPr>
            <w:tcW w:type="dxa" w:w="332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Tratamiento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Accesos digitales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Clave y credenciales del portal CFE, contrasenas, codigos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Verificacion de que el acceso funciona y corresponde al cliente; uso exclusivo para el servicio; no se comparten con terceros ni se conservan fuera de los medios autorizados; se eliminan al concluir cuando ya no se requieran.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Documentacion tecnica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Planos, recibos CFE, datos de consumo, mediciones, fotografias del sitio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Verificacion e identificacion al recibirla; resguardo controlado; solo las copias necesarias para el proyecto; sin difusion externa.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Bienes fisicos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Llaves, controles de acceso, tarjetas, equipo prestado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Verificacion del estado al recibir; registro de entrega y devolucion en cada visita; reintegro al cliente al cierre.</w:t>
            </w:r>
          </w:p>
        </w:tc>
      </w:tr>
    </w:tbl>
    <w:p>
      <w:pPr>
        <w:spacing w:after="120"/>
      </w:pPr>
      <w:r>
        <w:rPr>
          <w:rFonts w:ascii="Calibri" w:hAnsi="Calibri"/>
          <w:color w:val="1C242E"/>
          <w:sz w:val="21"/>
        </w:rPr>
        <w:t>Al momento de la recepcion se verifica y se deja constancia del estado o condicion aparente de la propiedad y los accesos entregados. Esta verificacion confirma que la propiedad es adecuada para el uso previsto, permite detectar de inmediato cualquier faltante o desperfecto y respalda a la empresa ante cualquier reclamo por dano previo a la recepcion.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Cada verificacion, entrega y devolucion se asienta en el acuerdo de recepcion (seccion 6). Si algun bien o informacion del cliente se pierde, se dana o se vuelve inadecuado para su uso, se informa de inmediato al cliente y se documenta como no conformidad conforme a REG-NCA-001, dando seguimiento por PRO-AC-001.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SolarPro] Asignar el codigo de registro definitivo de la bitacora o formato de control de propiedad del cliente dentro de la codificacion del SGC (serie de formatos/registros de Operaciones).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6. Clausula de Confidencialidad y Firma de Recepcion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Clausula de confidencialidad: El colaborador que suscribe reconoce que, durante la prestacion de los servicios contratados de energia solar y climatizacion (marcas SolarPro y Capital Climas), podra tener acceso a informacion, accesos y bienes propiedad del cliente. Se obliga a tratar dicha informacion como estrictamente confidencial, a utilizarla unica y exclusivamente para la ejecucion del servicio contratado y a no divulgarla, copiarla ni aprovecharla para fines distintos, tanto durante la relacion como despues de concluida.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En particular, el colaborador se obliga a:</w:t>
      </w:r>
    </w:p>
    <w:p>
      <w:pPr>
        <w:pStyle w:val="ListBullet"/>
      </w:pPr>
      <w:r>
        <w:rPr>
          <w:rFonts w:ascii="Calibri" w:hAnsi="Calibri"/>
          <w:sz w:val="20"/>
        </w:rPr>
        <w:t>No compartir la clave ni las credenciales de acceso al portal CFE del cliente con terceros, ni conservarlas fuera de los medios autorizados.</w:t>
      </w:r>
    </w:p>
    <w:p>
      <w:pPr>
        <w:pStyle w:val="ListBullet"/>
      </w:pPr>
      <w:r>
        <w:rPr>
          <w:rFonts w:ascii="Calibri" w:hAnsi="Calibri"/>
          <w:sz w:val="20"/>
        </w:rPr>
        <w:t>Resguardar planos, recibos, datos de consumo y ubicacion del cliente, y no reproducirlos ni difundirlos.</w:t>
      </w:r>
    </w:p>
    <w:p>
      <w:pPr>
        <w:pStyle w:val="ListBullet"/>
      </w:pPr>
      <w:r>
        <w:rPr>
          <w:rFonts w:ascii="Calibri" w:hAnsi="Calibri"/>
          <w:sz w:val="20"/>
        </w:rPr>
        <w:t>Devolver al cierre de la visita las llaves, controles y accesos fisicos recibidos.</w:t>
      </w:r>
    </w:p>
    <w:p>
      <w:pPr>
        <w:pStyle w:val="ListBullet"/>
      </w:pPr>
      <w:r>
        <w:rPr>
          <w:rFonts w:ascii="Calibri" w:hAnsi="Calibri"/>
          <w:sz w:val="20"/>
        </w:rPr>
        <w:t>Abstenerse de tomar fotografias o registros del domicilio del cliente salvo los necesarios y autorizados para el servicio.</w:t>
      </w:r>
    </w:p>
    <w:p>
      <w:pPr>
        <w:pStyle w:val="ListBullet"/>
      </w:pPr>
      <w:r>
        <w:rPr>
          <w:rFonts w:ascii="Calibri" w:hAnsi="Calibri"/>
          <w:sz w:val="20"/>
        </w:rPr>
        <w:t>Verificar y dejar constancia del estado o condicion de la propiedad y accesos al recibirlos y al devolverlos.</w:t>
      </w:r>
    </w:p>
    <w:p>
      <w:pPr>
        <w:pStyle w:val="ListBullet"/>
      </w:pPr>
      <w:r>
        <w:rPr>
          <w:rFonts w:ascii="Calibri" w:hAnsi="Calibri"/>
          <w:sz w:val="20"/>
        </w:rPr>
        <w:t>Reportar de inmediato a Gerencia Administrativa cualquier perdida, dano o uso indebido de propiedad o informacion del cliente.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Firma de recepcion: al inicio de la visita se completa y firma el siguiente registro, que evidencia la entrega, la verificacion del estado de la propiedad, la aceptacion del compromiso y la posterior devolucion.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4986"/>
        <w:gridCol w:w="4986"/>
      </w:tblGrid>
      <w:tr>
        <w:tc>
          <w:tcPr>
            <w:tcW w:type="dxa" w:w="498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Campo</w:t>
            </w:r>
          </w:p>
        </w:tc>
        <w:tc>
          <w:tcPr>
            <w:tcW w:type="dxa" w:w="498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Registro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Cliente / proyecto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_______________________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Domicilio / sede de la visita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_______________________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Fecha y hora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_______________________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Propiedad y accesos recibidos (clave CFE, planos, llaves, otros)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_______________________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Estado / condicion al recibir (observaciones)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_______________________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Nombre y firma del colaborador que recibe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_______________________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Nombre y firma de quien entrega por parte del cliente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_______________________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Estado / condicion al devolver (observaciones)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_______________________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Devolucion / cierre (fecha y firma)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_______________________</w:t>
            </w:r>
          </w:p>
        </w:tc>
      </w:tr>
    </w:tbl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7. Integracion al Proceso de Visita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El acuerdo se aplica como paso obligatorio del flujo de visita tecnica y comercial:</w:t>
      </w:r>
    </w:p>
    <w:p>
      <w:pPr>
        <w:pStyle w:val="ListNumber"/>
      </w:pPr>
      <w:r>
        <w:rPr>
          <w:b/>
          <w:sz w:val="20"/>
        </w:rPr>
        <w:t xml:space="preserve">Antes de la visita (programacion). </w:t>
      </w:r>
      <w:r>
        <w:rPr>
          <w:rFonts w:ascii="Calibri" w:hAnsi="Calibri"/>
          <w:sz w:val="20"/>
        </w:rPr>
        <w:t>Al agendar la visita en PRO-VEN o PRO-ING se identifica si se requerira acceso a propiedad o informacion del cliente y se prepara el formato del acuerdo.</w:t>
      </w:r>
    </w:p>
    <w:p>
      <w:pPr>
        <w:pStyle w:val="ListNumber"/>
      </w:pPr>
      <w:r>
        <w:rPr>
          <w:b/>
          <w:sz w:val="20"/>
        </w:rPr>
        <w:t xml:space="preserve">Al inicio de la visita (recepcion, verificacion y firma). </w:t>
      </w:r>
      <w:r>
        <w:rPr>
          <w:rFonts w:ascii="Calibri" w:hAnsi="Calibri"/>
          <w:sz w:val="20"/>
        </w:rPr>
        <w:t>La persona designada para recibir al equipo entrega o facilita los accesos, se verifica y registra el estado de la propiedad recibida y ambas partes firman el acuerdo de recepcion antes de iniciar el trabajo.</w:t>
      </w:r>
    </w:p>
    <w:p>
      <w:pPr>
        <w:pStyle w:val="ListNumber"/>
      </w:pPr>
      <w:r>
        <w:rPr>
          <w:b/>
          <w:sz w:val="20"/>
        </w:rPr>
        <w:t xml:space="preserve">Durante la visita (uso controlado). </w:t>
      </w:r>
      <w:r>
        <w:rPr>
          <w:rFonts w:ascii="Calibri" w:hAnsi="Calibri"/>
          <w:sz w:val="20"/>
        </w:rPr>
        <w:t>El personal usa la informacion y accesos del cliente solo para el servicio contratado, sin reproducir ni difundir.</w:t>
      </w:r>
    </w:p>
    <w:p>
      <w:pPr>
        <w:pStyle w:val="ListNumber"/>
      </w:pPr>
      <w:r>
        <w:rPr>
          <w:b/>
          <w:sz w:val="20"/>
        </w:rPr>
        <w:t xml:space="preserve">Al cierre (devolucion y registro). </w:t>
      </w:r>
      <w:r>
        <w:rPr>
          <w:rFonts w:ascii="Calibri" w:hAnsi="Calibri"/>
          <w:sz w:val="20"/>
        </w:rPr>
        <w:t>Se devuelven llaves y accesos fisicos, se verifica y registra su estado al devolverlos, se firma la devolucion y el acuerdo firmado se entrega a Gerencia Administrativa para su resguardo.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SolarPro] Ya existe una persona que recibe al equipo en cada visita, pero aun no se cuenta con el acuerdo firmado. Confirmar el nombre y puesto de quien recibe (y si pertenece a la empresa o al cliente) y formalizar la version firmada del acuerdo para incorporarla al proceso de visita.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8. Registros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3324"/>
        <w:gridCol w:w="3324"/>
        <w:gridCol w:w="3324"/>
      </w:tblGrid>
      <w:tr>
        <w:tc>
          <w:tcPr>
            <w:tcW w:type="dxa" w:w="332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Registro</w:t>
            </w:r>
          </w:p>
        </w:tc>
        <w:tc>
          <w:tcPr>
            <w:tcW w:type="dxa" w:w="332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Responsable de resguardo</w:t>
            </w:r>
          </w:p>
        </w:tc>
        <w:tc>
          <w:tcPr>
            <w:tcW w:type="dxa" w:w="332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Retencion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Acuerdo de confidencialidad y recepcion firmado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Por definir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Bitacora de control de propiedad del cliente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Coordinacion de Operaciones / Almacen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Por definir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No conformidad por perdida o dano (REG-NCA-001)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Segun PRO-AC-001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SolarPro] Definir el periodo de retencion de los acuerdos firmados y de la bitacora de propiedad del cliente, y asignar sus codigos de registro dentro del SGC.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9. Criterio de Aceptacion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El documento se considera aceptado cuando el acuerdo esta en uso y se firma en las visitas, verificando y registrando el estado de la propiedad del cliente al recibirla y al devolverla.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10. Referencias</w:t>
      </w:r>
    </w:p>
    <w:p>
      <w:pPr>
        <w:pStyle w:val="ListBullet"/>
      </w:pPr>
      <w:r>
        <w:rPr>
          <w:rFonts w:ascii="Calibri" w:hAnsi="Calibri"/>
          <w:sz w:val="20"/>
        </w:rPr>
        <w:t>ISO 9001:2015, clausula 8.5.3 (Propiedad perteneciente a los clientes o proveedores externos).</w:t>
      </w:r>
    </w:p>
    <w:p>
      <w:pPr>
        <w:pStyle w:val="ListBullet"/>
      </w:pPr>
      <w:r>
        <w:rPr>
          <w:rFonts w:ascii="Calibri" w:hAnsi="Calibri"/>
          <w:sz w:val="20"/>
        </w:rPr>
        <w:t>Manual de Calidad MC-SP-01.</w:t>
      </w:r>
    </w:p>
    <w:p>
      <w:pPr>
        <w:pStyle w:val="ListBullet"/>
      </w:pPr>
      <w:r>
        <w:rPr>
          <w:rFonts w:ascii="Calibri" w:hAnsi="Calibri"/>
          <w:sz w:val="20"/>
        </w:rPr>
        <w:t>Procedimientos de area: PRO-VEN (Comercial), PRO-ING (Ingenieria), PRO-OPE (Operaciones), PRO-PVM (Postventa), PRO-ALM (Almacen).</w:t>
      </w:r>
    </w:p>
    <w:p>
      <w:pPr>
        <w:pStyle w:val="ListBullet"/>
      </w:pPr>
      <w:r>
        <w:rPr>
          <w:rFonts w:ascii="Calibri" w:hAnsi="Calibri"/>
          <w:sz w:val="20"/>
        </w:rPr>
        <w:t>PRO-AC-001 Acciones correctivas y REG-NCA-001 Bitacora de no conformidades.</w:t>
      </w:r>
    </w:p>
    <w:p>
      <w:pPr>
        <w:pStyle w:val="ListBullet"/>
      </w:pPr>
      <w:r>
        <w:rPr>
          <w:rFonts w:ascii="Calibri" w:hAnsi="Calibri"/>
          <w:sz w:val="20"/>
        </w:rPr>
        <w:t>Politica de Calidad POL-CAL-001 y Matriz de riesgos MAT-RIE-001.</w:t>
      </w:r>
    </w:p>
    <w:p>
      <w:pPr>
        <w:pStyle w:val="ListBullet"/>
      </w:pPr>
      <w:r>
        <w:rPr>
          <w:rFonts w:ascii="Calibri" w:hAnsi="Calibri"/>
          <w:sz w:val="20"/>
        </w:rPr>
        <w:t>Legislacion aplicable en materia de proteccion de datos personales y confidencialidad (referencia generica).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11. Control de Cambios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Este documento se encuentra en estado de borrador para validacion. El control de versiones se actualiza en cada revision o cambio aprobado del acuerdo.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Version</w:t>
            </w:r>
          </w:p>
        </w:tc>
        <w:tc>
          <w:tcPr>
            <w:tcW w:type="dxa" w:w="24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Fecha</w:t>
            </w:r>
          </w:p>
        </w:tc>
        <w:tc>
          <w:tcPr>
            <w:tcW w:type="dxa" w:w="24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Descripcion del cambio</w:t>
            </w:r>
          </w:p>
        </w:tc>
        <w:tc>
          <w:tcPr>
            <w:tcW w:type="dxa" w:w="24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Responsable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0.1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2026-09-17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Emision inicial en borrador para validacion con SolarPro y Capital Climas.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 (custodio del SGC)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SolarPro] Confirmar la fecha de emision oficial y la version 1.0 una vez aprobado el acuerdo, e integrar las revisiones posteriores en esta tabla de control de cambios.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12. Aprobacion y Firmas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El presente acuerdo entra en vigor una vez elaborado, revisado y aprobado conforme a la gobernanza del SGC descrita en el Manual de Calidad MC-SP-01.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Etapa</w:t>
            </w:r>
          </w:p>
        </w:tc>
        <w:tc>
          <w:tcPr>
            <w:tcW w:type="dxa" w:w="24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Nombre y puesto</w:t>
            </w:r>
          </w:p>
        </w:tc>
        <w:tc>
          <w:tcPr>
            <w:tcW w:type="dxa" w:w="24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Firma</w:t>
            </w:r>
          </w:p>
        </w:tc>
        <w:tc>
          <w:tcPr>
            <w:tcW w:type="dxa" w:w="24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Fecha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Elaboro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 (custodio del SGC)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_______________________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_______________________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Reviso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_______________________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_______________________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_______________________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Aprobo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_______________________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_______________________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_______________________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SolarPro] Confirmar los nombres, puestos y autoridad formal de quienes revisan y aprueban este acuerdo (incluida la responsable del control, Leticia), conforme al organigrama y a la gobernanza del Manual de Calidad MC-SP-01.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APROBACIÓN</w:t>
      </w:r>
    </w:p>
    <w:p>
      <w:pPr>
        <w:spacing w:after="120"/>
      </w:pPr>
    </w:p>
    <w:p>
      <w:pPr>
        <w:keepNext/>
        <w:spacing w:after="3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</w:tr>
      <w:tr>
        <w:tc>
          <w:tcPr>
            <w:tcW w:type="dxa" w:w="332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Elaboró</w:t>
              <w:br/>
              <w:t>DETA Consultores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Revisó</w:t>
              <w:br/>
              <w:t>Gerencia Administrativa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Aprobó</w:t>
              <w:br/>
              <w:t>Dirección General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77" w:right="1134" w:bottom="107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Calibri" w:hAnsi="Calibri"/>
        <w:color w:val="595959"/>
        <w:sz w:val="15"/>
      </w:rPr>
      <w:t>SolarPro · Acuerdo de Confidencialidad y Manejo de Informacion del Cliente · ACU-CONF-001 V1</w:t>
    </w:r>
    <w:r>
      <w:tab/>
    </w:r>
    <w:r>
      <w:rPr>
        <w:rFonts w:ascii="Calibri" w:hAnsi="Calibri"/>
        <w:sz w:val="16"/>
      </w:rPr>
      <w:fldChar w:fldCharType="begin"/>
    </w:r>
    <w:r>
      <w:rPr>
        <w:rFonts w:ascii="Calibri" w:hAnsi="Calibri"/>
        <w:sz w:val="16"/>
      </w:rPr>
      <w:instrText xml:space="preserve"> PAGE </w:instrText>
    </w:r>
    <w:r>
      <w:fldChar w:fldCharType="separate"/>
    </w:r>
    <w:r>
      <w:rPr>
        <w:rFonts w:ascii="Calibri" w:hAnsi="Calibri"/>
        <w:sz w:val="16"/>
      </w:rPr>
      <w:t>1</w:t>
    </w:r>
    <w:r>
      <w:fldChar w:fldCharType="end"/>
    </w:r>
    <w:r>
      <w:rPr>
        <w:color w:val="595959"/>
        <w:sz w:val="15"/>
      </w:rPr>
      <w:t xml:space="preserve"> / </w:t>
    </w:r>
    <w:r>
      <w:rPr>
        <w:rFonts w:ascii="Calibri" w:hAnsi="Calibri"/>
        <w:sz w:val="16"/>
      </w:rPr>
      <w:fldChar w:fldCharType="begin"/>
    </w:r>
    <w:r>
      <w:rPr>
        <w:rFonts w:ascii="Calibri" w:hAnsi="Calibri"/>
        <w:sz w:val="16"/>
      </w:rPr>
      <w:instrText xml:space="preserve"> NUMPAGES </w:instrText>
    </w:r>
    <w:r>
      <w:fldChar w:fldCharType="separate"/>
    </w:r>
    <w:r>
      <w:rPr>
        <w:rFonts w:ascii="Calibri" w:hAnsi="Calibri"/>
        <w:sz w:val="16"/>
      </w:rPr>
      <w:t>1</w:t>
    </w:r>
    <w:r>
      <w:fldChar w:fldCharType="end"/>
    </w:r>
    <w:r>
      <w:tab/>
    </w:r>
    <w:r>
      <w:rPr>
        <w:rFonts w:ascii="Calibri" w:hAnsi="Calibri"/>
        <w:color w:val="595959"/>
        <w:sz w:val="15"/>
      </w:rPr>
      <w:t>Elaboró DETA Consultores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