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  <w:jc w:val="center"/>
      </w:pPr>
      <w:r>
        <w:drawing>
          <wp:inline xmlns:a="http://schemas.openxmlformats.org/drawingml/2006/main" xmlns:pic="http://schemas.openxmlformats.org/drawingml/2006/picture">
            <wp:extent cx="2340000" cy="768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neles-solares-chihuahua-financiamiento-cotizacion-credito-energia-solar-cibanco-solarpro-sustainable-energy-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768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0"/>
        <w:jc w:val="center"/>
      </w:pPr>
      <w:r>
        <w:rPr>
          <w:rFonts w:ascii="Calibri" w:hAnsi="Calibri"/>
          <w:b/>
          <w:color w:val="595959"/>
          <w:sz w:val="22"/>
        </w:rPr>
        <w:t>SISTEMA DE GESTIÓN DE CALIDAD ISO 9001:2015</w:t>
      </w:r>
    </w:p>
    <w:p>
      <w:pPr>
        <w:spacing w:before="120" w:after="40"/>
        <w:jc w:val="center"/>
      </w:pPr>
      <w:r>
        <w:rPr>
          <w:rFonts w:ascii="Georgia" w:hAnsi="Georgia"/>
          <w:b/>
          <w:color w:val="0056B4"/>
          <w:sz w:val="60"/>
        </w:rPr>
        <w:t>Análisis FODA / PESTEL</w:t>
      </w:r>
    </w:p>
    <w:p>
      <w:pPr>
        <w:jc w:val="center"/>
      </w:pPr>
      <w:r>
        <w:rPr>
          <w:color w:val="F0E528"/>
          <w:sz w:val="24"/>
        </w:rPr>
        <w:t>________</w:t>
      </w:r>
    </w:p>
    <w:p>
      <w:pPr>
        <w:jc w:val="center"/>
      </w:pPr>
      <w:r>
        <w:rPr>
          <w:rFonts w:ascii="Georgia" w:hAnsi="Georgia"/>
          <w:i/>
          <w:color w:val="595959"/>
          <w:sz w:val="26"/>
        </w:rPr>
        <w:t>SolarPro · Sistema de Gestión de Calidad ISO 9001:2015</w:t>
      </w:r>
    </w:p>
    <w:p>
      <w:pPr>
        <w:spacing w:before="600"/>
        <w:jc w:val="center"/>
      </w:pPr>
      <w:r>
        <w:rPr>
          <w:b/>
          <w:color w:val="1C242E"/>
          <w:sz w:val="22"/>
        </w:rPr>
        <w:t>Soluciones Energéticas JEA S.A. de C.V. (SolarPro)</w:t>
      </w:r>
    </w:p>
    <w:p>
      <w:pPr>
        <w:jc w:val="center"/>
      </w:pPr>
      <w:r>
        <w:rPr>
          <w:color w:val="595959"/>
          <w:sz w:val="20"/>
        </w:rPr>
        <w:t>FOD-001  ·  Versión 1  ·  17 de septiembre de 2026</w:t>
      </w:r>
    </w:p>
    <w:p>
      <w:pPr>
        <w:spacing w:before="120"/>
        <w:jc w:val="center"/>
      </w:pPr>
      <w:r>
        <w:rPr>
          <w:color w:val="595959"/>
          <w:sz w:val="18"/>
        </w:rPr>
        <w:t>Elaboró DETA Consultores</w:t>
      </w:r>
    </w:p>
    <w:p>
      <w:pPr>
        <w:jc w:val="center"/>
      </w:pPr>
      <w:r>
        <w:rPr>
          <w:i/>
          <w:color w:val="595959"/>
          <w:sz w:val="18"/>
        </w:rPr>
        <w:t>Borrador para validación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4986"/>
        <w:gridCol w:w="4986"/>
      </w:tblGrid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Código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FOD-001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Versión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Estado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Borrador para validación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emisión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17 de septiembre de 2026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revisión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Septiembre 2027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Custodio del documento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Administrativa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Elabora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DETA Consultores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Revisa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Administrativa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Aprueba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Dirección General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Clasificación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Interno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Razón social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Soluciones Energéticas JEA S.A. de C.V. (SolarPro)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RFC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SEJ151105UV7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Sitios cubiertos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Matriz Chihuahua; operación Ciudad Juárez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HISTORIAL DE REVISIONES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1197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5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c>
          <w:tcPr>
            <w:tcW w:type="dxa" w:w="1197"/>
          </w:tcPr>
          <w:p>
            <w:r/>
            <w:r>
              <w:rPr>
                <w:rFonts w:ascii="Calibri" w:hAnsi="Calibri"/>
                <w:b w:val="0"/>
                <w:sz w:val="19"/>
              </w:rPr>
              <w:t>1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17 de septiembre de 2026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 derivada de la cláusula 4.1 del SGC (ISO 9001:2015).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CONTENIDO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1. Objetivo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Documentar el análisis del contexto de Soluciones Energéticas JEA, S.A. de C.V. (unidades de negocio SolarPro y Capital Climas), identificando las cuestiones externas e internas, positivas y negativas, que son pertinentes para su propósito y su dirección estratégica y que afectan su capacidad para lograr los resultados previstos del Sistema de Gestión de la Calidad, en cumplimiento del requisito 4.1 de ISO 9001:2015.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2. Alcance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Este documento aplica a las áreas y procesos del Sistema de Gestión de la Calidad en las sedes de Chihuahua y Ciudad Juárez. El alcance operativo del SGC se centra en el diseño, la comercialización y la instalación de sistemas fotovoltaicos residenciales y comerciales, correspondientes a la unidad de negocio SolarPro. La unidad de negocio Capital Climas (climatización) se incluye en este análisis de contexto como unidad complementaria y factor de venta cruzada, no necesariamente dentro del alcance certificable del SGC, dado que el requisito 4.1 exige comprender a la organización en su conjunto. El resultado de este análisis es entrada para la determinación de riesgos y oportunidades (MAT-RIE-001), la definición de objetivos de calidad y la planificación estratégica de la Dirección.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Confirmar el alcance formal del SGC: si cubre únicamente la operación fotovoltaica (SolarPro), tratando a Capital Climas solo como contexto, o si incorpora también la operación de climatización (Capital Climas). La redacción del alcance y el tratamiento de ambas unidades en este análisis se ajustarán a esa definición.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3. Definiciones</w:t>
      </w:r>
    </w:p>
    <w:p>
      <w:pPr>
        <w:pStyle w:val="ListBullet"/>
      </w:pPr>
      <w:r>
        <w:rPr>
          <w:rFonts w:ascii="Calibri" w:hAnsi="Calibri"/>
          <w:sz w:val="20"/>
        </w:rPr>
        <w:t>Contexto de la organización: combinación de cuestiones internas y externas que pueden influir en el enfoque de la organización para desarrollar y lograr sus objetivos.</w:t>
      </w:r>
    </w:p>
    <w:p>
      <w:pPr>
        <w:pStyle w:val="ListBullet"/>
      </w:pPr>
      <w:r>
        <w:rPr>
          <w:rFonts w:ascii="Calibri" w:hAnsi="Calibri"/>
          <w:sz w:val="20"/>
        </w:rPr>
        <w:t>Cuestión externa: factor del entorno (legal, regulatorio, económico, de mercado, competitivo, social, tecnológico o ambiental) fuera del control directo de la organización.</w:t>
      </w:r>
    </w:p>
    <w:p>
      <w:pPr>
        <w:pStyle w:val="ListBullet"/>
      </w:pPr>
      <w:r>
        <w:rPr>
          <w:rFonts w:ascii="Calibri" w:hAnsi="Calibri"/>
          <w:sz w:val="20"/>
        </w:rPr>
        <w:t>Cuestión interna: factor propio de la organización (valores, cultura, conocimiento, desempeño, recursos y capacidades).</w:t>
      </w:r>
    </w:p>
    <w:p>
      <w:pPr>
        <w:pStyle w:val="ListBullet"/>
      </w:pPr>
      <w:r>
        <w:rPr>
          <w:rFonts w:ascii="Calibri" w:hAnsi="Calibri"/>
          <w:sz w:val="20"/>
        </w:rPr>
        <w:t>FODA: matriz que cruza Fortalezas y Debilidades (origen interno) con Oportunidades y Amenazas (origen externo).</w:t>
      </w:r>
    </w:p>
    <w:p>
      <w:pPr>
        <w:pStyle w:val="ListBullet"/>
      </w:pPr>
      <w:r>
        <w:rPr>
          <w:rFonts w:ascii="Calibri" w:hAnsi="Calibri"/>
          <w:sz w:val="20"/>
        </w:rPr>
        <w:t>PESTEL: marco de lectura del entorno por seis dimensiones (Política, Económica, Social, Tecnológica, Ecológica o ambiental y Legal). En este documento se emplea una versión adaptada del marco: las dimensiones Política y Legal se integran en una sola por su interdependencia regulatoria en el sector eléctrico, y se añade una dimensión de Competencia y mercado por su relevancia para el negocio.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4. Metodología y responsabilidades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análisis se construye con PESTEL para leer el entorno y con FODA para sintetizar la posición estratégica. La información se consolida en este documento controlado, resguardado por la Gerencia Administrativa, y se revisa de forma periódica y ante cambios relevantes del contexto.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Rol</w:t>
            </w:r>
          </w:p>
        </w:tc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Responsabilidad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Dirección General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Aprueba el análisis y valida las conclusiones estratégicas.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 (custodio del SGC)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Resguarda el documento, controla versiones y convoca la revisión periódica.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Comercial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Aporta inteligencia de mercado, competencia y esquema de tarifas y servicios.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Ingeniería / Instalaciones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Aporta capacidades técnicas, restricciones de instalación y de almacenamiento.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Responsables designados del análisis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Elaboran, actualizan y presentan el análisis para revisión.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Conforme a la convención de roles y no nombres establecida en el Manual MC-SP-01 (cero nombres de persona en el cuerpo del documento), sustituir la designación genérica de los responsables por sus puestos formales según el organigrama y los 11 perfiles de puesto ISO. El primer responsable ya identificado corresponde a la Gerencia Comercial (contacto Christian Casanova, christianc@solar-pro.mx); confirmar el puesto formal del segundo responsable. Si la Dirección decide mantener nombres de pila en lugar de roles, asentarlos con la ortografía correcta (Christian, no Cristian).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5. Análisis PESTEL (cuestiones externas)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Lectura del entorno relevante para el negocio en el norte del país. Cubre mercado, competencia, regulación del sector eléctrico y de CFE, clima y financiamiento. Se aplica un marco PESTEL adaptado, coherente con la definición de la sección 3: las dimensiones Política y Legal se tratan de forma conjunta por su interdependencia en el sector eléctrico, y se incorpora una fila adicional de Competencia y mercado por su peso en la posición estratégica de la organización.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Dimensión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Cuestión externa a vigilar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Implicación para SolarPro / Capital Climas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Naturaleza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Política y legal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Regulación del sector eléctrico e interconexión de generación distribuida; verificación de instalaciones eléctricas (UVI) y unidades de inspección (UI); normas oficiales aplicables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Condiciona permisos, tiempos de interconexión y cumplimiento documental por proyecto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Amenaza / Oportunidad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Económica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Esquema tarifario de CFE (tarifas de alto consumo doméstico y tarifas comerciales), tipo de cambio e importación de equipo, inflación, disponibilidad de financiamiento al cliente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Determina el retorno de inversión del cliente final y la conversión de ventas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Mixto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Social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Densidades demográficas y nivel socioeconómico por zona (Chihuahua y Ciudad Juárez), conciencia ambiental, poder adquisitivo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Define el potencial de mercado y la segmentación territorial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Oportunidad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Tecnológica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Eficiencia de paneles e inversores, sistemas de almacenamiento (baterías), monitoreo remoto, herramientas digitales de cotización y venta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Exige actualización técnica y una estrategia digital competitiva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Mixto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Ecológica y ambiental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Clima regional (alta radiación solar, temperaturas extremas, viento, polvo, granizo) y estacionalidad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Incide en dimensionamiento, desempeño, garantías y calendario de instalación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Mixto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Competencia y mercado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Presencia de competidores (grandes cadenas e instaladores locales), presión de precios, diferenciación por servicio y postventa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Presiona márgenes y obliga a fortalecer la propuesta de valor y la postventa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Amenaza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Mantener actualizados los parámetros vigentes de CFE (categorías y umbrales de consumo tarifario) y los requisitos de verificación (UVI/UI) aplicables. Estos elementos cambian periódicamente, por lo que no se asientan valores específicos hasta su validación.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Integrar el listado de competidores grandes ya identificados por SolarPro y el mapeo de mercado por tarifa y servicio. Hoy esta información existe pero vive dispersa en máquinas individuales; debe consolidarse en este documento controlado como fuente única.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6. Análisis FODA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Síntesis estratégica que cruza el origen interno (Fortalezas y Debilidades) con el origen externo (Oportunidades y Amenazas). Los elementos listados son propuestos a partir del contexto conocido y se validan en taller con la Dirección y las gerencias.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3324"/>
        <w:gridCol w:w="3324"/>
        <w:gridCol w:w="3324"/>
      </w:tblGrid>
      <w:tr>
        <w:tc>
          <w:tcPr>
            <w:tcW w:type="dxa" w:w="33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</w:r>
          </w:p>
        </w:tc>
        <w:tc>
          <w:tcPr>
            <w:tcW w:type="dxa" w:w="33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Origen interno</w:t>
            </w:r>
          </w:p>
        </w:tc>
        <w:tc>
          <w:tcPr>
            <w:tcW w:type="dxa" w:w="33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Origen externo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Ayuda (positivo)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Fortalezas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Oportunidades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Perjudica (negativo)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Debilidades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Amenazas</w:t>
            </w:r>
          </w:p>
        </w:tc>
      </w:tr>
    </w:tbl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Fortalezas (propuestas)</w:t>
      </w:r>
    </w:p>
    <w:p>
      <w:pPr>
        <w:pStyle w:val="ListBullet"/>
      </w:pPr>
      <w:r>
        <w:rPr>
          <w:rFonts w:ascii="Calibri" w:hAnsi="Calibri"/>
          <w:sz w:val="20"/>
        </w:rPr>
        <w:t>Operación establecida en dos plazas estratégicas del norte (Chihuahua y Ciudad Juárez).</w:t>
      </w:r>
    </w:p>
    <w:p>
      <w:pPr>
        <w:pStyle w:val="ListBullet"/>
      </w:pPr>
      <w:r>
        <w:rPr>
          <w:rFonts w:ascii="Calibri" w:hAnsi="Calibri"/>
          <w:sz w:val="20"/>
        </w:rPr>
        <w:t>Dos unidades de negocio complementarias (SolarPro fotovoltaico y Capital Climas climatización) que permiten venta cruzada.</w:t>
      </w:r>
    </w:p>
    <w:p>
      <w:pPr>
        <w:pStyle w:val="ListBullet"/>
      </w:pPr>
      <w:r>
        <w:rPr>
          <w:rFonts w:ascii="Calibri" w:hAnsi="Calibri"/>
          <w:sz w:val="20"/>
        </w:rPr>
        <w:t>SGC documentado bajo ISO 9001:2015 (manual, procedimientos por área y perfiles de puesto) que ordena la operación y respalda ante clientes comerciales.</w:t>
      </w:r>
    </w:p>
    <w:p>
      <w:pPr>
        <w:pStyle w:val="ListBullet"/>
      </w:pPr>
      <w:r>
        <w:rPr>
          <w:rFonts w:ascii="Calibri" w:hAnsi="Calibri"/>
          <w:sz w:val="20"/>
        </w:rPr>
        <w:t>Cadena de valor completa bajo un mismo control: diseño, comercialización, instalación, almacén y postventa.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Oportunidades (propuestas)</w:t>
      </w:r>
    </w:p>
    <w:p>
      <w:pPr>
        <w:pStyle w:val="ListBullet"/>
      </w:pPr>
      <w:r>
        <w:rPr>
          <w:rFonts w:ascii="Calibri" w:hAnsi="Calibri"/>
          <w:sz w:val="20"/>
        </w:rPr>
        <w:t>Alta radiación solar regional que favorece el desempeño de los sistemas.</w:t>
      </w:r>
    </w:p>
    <w:p>
      <w:pPr>
        <w:pStyle w:val="ListBullet"/>
      </w:pPr>
      <w:r>
        <w:rPr>
          <w:rFonts w:ascii="Calibri" w:hAnsi="Calibri"/>
          <w:sz w:val="20"/>
        </w:rPr>
        <w:t>Presión tarifaria de CFE que incrementa el atractivo del ahorro solar para el cliente final.</w:t>
      </w:r>
    </w:p>
    <w:p>
      <w:pPr>
        <w:pStyle w:val="ListBullet"/>
      </w:pPr>
      <w:r>
        <w:rPr>
          <w:rFonts w:ascii="Calibri" w:hAnsi="Calibri"/>
          <w:sz w:val="20"/>
        </w:rPr>
        <w:t>Crecimiento del segmento comercial e industrial con consumos elevados.</w:t>
      </w:r>
    </w:p>
    <w:p>
      <w:pPr>
        <w:pStyle w:val="ListBullet"/>
      </w:pPr>
      <w:r>
        <w:rPr>
          <w:rFonts w:ascii="Calibri" w:hAnsi="Calibri"/>
          <w:sz w:val="20"/>
        </w:rPr>
        <w:t>Adopción de sistemas de almacenamiento como servicio adicional y factor de diferenciación.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Debilidades (propuestas)</w:t>
      </w:r>
    </w:p>
    <w:p>
      <w:pPr>
        <w:pStyle w:val="ListBullet"/>
      </w:pPr>
      <w:r>
        <w:rPr>
          <w:rFonts w:ascii="Calibri" w:hAnsi="Calibri"/>
          <w:sz w:val="20"/>
        </w:rPr>
        <w:t>Inteligencia de mercado y competencia dispersa en máquinas individuales, sin repositorio único ni control documental.</w:t>
      </w:r>
    </w:p>
    <w:p>
      <w:pPr>
        <w:pStyle w:val="ListBullet"/>
      </w:pPr>
      <w:r>
        <w:rPr>
          <w:rFonts w:ascii="Calibri" w:hAnsi="Calibri"/>
          <w:sz w:val="20"/>
        </w:rPr>
        <w:t>Estrategia digital por consolidar (presencia, generación de leads y herramientas de venta).</w:t>
      </w:r>
    </w:p>
    <w:p>
      <w:pPr>
        <w:pStyle w:val="ListBullet"/>
      </w:pPr>
      <w:r>
        <w:rPr>
          <w:rFonts w:ascii="Calibri" w:hAnsi="Calibri"/>
          <w:sz w:val="20"/>
        </w:rPr>
        <w:t>Concentración de conocimiento comercial en personas y equipos específicos, con riesgo de pérdida.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Amenazas (propuestas)</w:t>
      </w:r>
    </w:p>
    <w:p>
      <w:pPr>
        <w:pStyle w:val="ListBullet"/>
      </w:pPr>
      <w:r>
        <w:rPr>
          <w:rFonts w:ascii="Calibri" w:hAnsi="Calibri"/>
          <w:sz w:val="20"/>
        </w:rPr>
        <w:t>Competidores grandes con capacidad de precio y publicidad.</w:t>
      </w:r>
    </w:p>
    <w:p>
      <w:pPr>
        <w:pStyle w:val="ListBullet"/>
      </w:pPr>
      <w:r>
        <w:rPr>
          <w:rFonts w:ascii="Calibri" w:hAnsi="Calibri"/>
          <w:sz w:val="20"/>
        </w:rPr>
        <w:t>Volatilidad del tipo de cambio en el costo de equipo importado.</w:t>
      </w:r>
    </w:p>
    <w:p>
      <w:pPr>
        <w:pStyle w:val="ListBullet"/>
      </w:pPr>
      <w:r>
        <w:rPr>
          <w:rFonts w:ascii="Calibri" w:hAnsi="Calibri"/>
          <w:sz w:val="20"/>
        </w:rPr>
        <w:t>Cambios regulatorios en interconexión y en verificación de instalaciones.</w:t>
      </w:r>
    </w:p>
    <w:p>
      <w:pPr>
        <w:pStyle w:val="ListBullet"/>
      </w:pPr>
      <w:r>
        <w:rPr>
          <w:rFonts w:ascii="Calibri" w:hAnsi="Calibri"/>
          <w:sz w:val="20"/>
        </w:rPr>
        <w:t>Clima extremo (granizo, viento, polvo) que afecta instalaciones y garantías.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Validar y completar la matriz FODA en taller con Dirección General y las gerencias. No deben incorporarse cifras de plantilla, capacidad instalada, número de proyectos, certificaciones específicas ni nombres de competidores sin confirmación de la empresa.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7. Cuestiones internas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Factores propios de la organización que condicionan su capacidad de cumplir. Cubre capacidades, estrategia digital y plantilla.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3324"/>
        <w:gridCol w:w="3324"/>
        <w:gridCol w:w="3324"/>
      </w:tblGrid>
      <w:tr>
        <w:tc>
          <w:tcPr>
            <w:tcW w:type="dxa" w:w="33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Ámbito interno</w:t>
            </w:r>
          </w:p>
        </w:tc>
        <w:tc>
          <w:tcPr>
            <w:tcW w:type="dxa" w:w="33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Cuestión a evaluar</w:t>
            </w:r>
          </w:p>
        </w:tc>
        <w:tc>
          <w:tcPr>
            <w:tcW w:type="dxa" w:w="33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Relevancia para el SGC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Capacidades técnicas y operativas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Capacidad de diseño, ingeniería e instalación; cobertura simultánea en dos sedes; equipamiento y herramienta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Determina la capacidad de cumplir volumen y tiempos comprometidos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Estrategia digital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Presencia web, generación y seguimiento de leads, herramientas digitales de cotización, CRM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Afecta la captación y la conversión frente a la competencia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Plantilla y talento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Estructura, cobertura de puestos frente a los 11 perfiles ISO, competencias, rotación y capacitación, con detalle por sede (Chihuahua y Ciudad Juárez)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Sostiene la calidad y la continuidad del servicio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Información y conocimiento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Concentración de datos de mercado en equipos individuales; respaldo y control documental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Riesgo de pérdida de conocimiento y oportunidad de estandarizar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Cadena de suministro y almacén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Gestión de inventario y de proveedores (PRO-PRV-001, PRO-ALM)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Disponibilidad de equipo e impacto en tiempos de entrega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Aportar los datos reales de plantilla por área y por sede (Chihuahua y Ciudad Juárez): número de colaboradores, puestos cubiertos frente a los 11 perfiles de puesto ISO e indicadores de rotación, para dimensionar la capacidad interna. No se asientan cifras sin validación.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Describir el estado real de la estrategia digital (canales activos, herramientas de venta, CRM y métricas de generación de leads) para evaluar esta cuestión interna con datos.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8. Brechas por mapear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Vacíos de información que la empresa debe cerrar para completar la lectura del contexto. Se priorizan las densidades demográficas, los sistemas de almacenamiento y la consolidación del mapeo de mercado hoy disperso.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3324"/>
        <w:gridCol w:w="3324"/>
        <w:gridCol w:w="3324"/>
      </w:tblGrid>
      <w:tr>
        <w:tc>
          <w:tcPr>
            <w:tcW w:type="dxa" w:w="33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Brecha</w:t>
            </w:r>
          </w:p>
        </w:tc>
        <w:tc>
          <w:tcPr>
            <w:tcW w:type="dxa" w:w="33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Qué falta mapear</w:t>
            </w:r>
          </w:p>
        </w:tc>
        <w:tc>
          <w:tcPr>
            <w:tcW w:type="dxa" w:w="33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Uso previsto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Densidades demográficas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Distribución poblacional y socioeconómica por zona en Chihuahua y Ciudad Juárez, cruzada con la tarifa CFE predominante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Focalizar prospección y priorizar zonas de mayor potencial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Sistemas de almacenamiento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Demanda, casos de uso y viabilidad de baterías o respaldo por segmento, y oferta de la competencia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Definir si se incorpora como línea o servicio y su propuesta de valor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Mapeo de mercado por tarifa y servicio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Consolidar en un repositorio único la información hoy dispersa en máquinas individuales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Segmentación y pronóstico de ventas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Competencia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Perfil, cobertura y precios de los competidores grandes ya identificados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Estrategia de diferenciación y posicionamiento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Mapear las densidades demográficas y el nivel socioeconómico por zona en Chihuahua y Ciudad Juárez, cruzados con la tarifa CFE predominante, con datos que aporte la empresa. Este mapeo se cierra como brecha; no se asientan cifras poblacionales ni de segmentación por inferencia.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Evaluar la demanda, los casos de uso y la viabilidad de los sistemas de almacenamiento (baterías o respaldo) por segmento, así como la oferta de la competencia en almacenamiento, con datos que aporte SolarPro. Este mapeo se cierra como brecha; no se asientan estimaciones de demanda ni de oferta por inferencia.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9. Salidas del análisis y vinculación con el SGC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Este análisis genera salidas que alimentan otros elementos del Sistema de Gestión de la Calidad. Su función principal es servir de entrada a la determinación de riesgos y oportunidades y a la planificación estratégica de la Dirección.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Salida del análisis</w:t>
            </w:r>
          </w:p>
        </w:tc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Destino en el SGC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Cuestiones externas e internas identificadas (PESTEL y FODA)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Entrada directa para la determinación de riesgos y oportunidades en la matriz MAT-RIE-001 (requisito 6.1).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Fortalezas y oportunidades priorizadas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Insumo para la definición de objetivos de calidad y para la planificación estratégica de la Dirección.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Debilidades, amenazas y brechas por mapear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Base para las acciones que abordan riesgos y para los planes de mejora, con seguimiento en la revisión por la Dirección.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Parámetros y datos pendientes de validación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Se integran a este documento y se propagan a MAT-RIE-001 conforme SolarPro los confirma, manteniendo la trazabilidad.</w:t>
            </w:r>
          </w:p>
        </w:tc>
      </w:tr>
    </w:tbl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Documentos relacionados</w:t>
      </w:r>
    </w:p>
    <w:p>
      <w:pPr>
        <w:pStyle w:val="ListBullet"/>
      </w:pPr>
      <w:r>
        <w:rPr>
          <w:rFonts w:ascii="Calibri" w:hAnsi="Calibri"/>
          <w:sz w:val="20"/>
        </w:rPr>
        <w:t>Manual del Sistema de Gestión de la Calidad (MC-SP-01).</w:t>
      </w:r>
    </w:p>
    <w:p>
      <w:pPr>
        <w:pStyle w:val="ListBullet"/>
      </w:pPr>
      <w:r>
        <w:rPr>
          <w:rFonts w:ascii="Calibri" w:hAnsi="Calibri"/>
          <w:sz w:val="20"/>
        </w:rPr>
        <w:t>Matriz de riesgos y oportunidades (MAT-RIE-001).</w:t>
      </w:r>
    </w:p>
    <w:p>
      <w:pPr>
        <w:pStyle w:val="ListBullet"/>
      </w:pPr>
      <w:r>
        <w:rPr>
          <w:rFonts w:ascii="Calibri" w:hAnsi="Calibri"/>
          <w:sz w:val="20"/>
        </w:rPr>
        <w:t>Procedimiento de proveedores (PRO-PRV-001) y procedimiento de almacén (PRO-ALM).</w:t>
      </w:r>
    </w:p>
    <w:p>
      <w:pPr>
        <w:pStyle w:val="ListBullet"/>
      </w:pPr>
      <w:r>
        <w:rPr>
          <w:rFonts w:ascii="Calibri" w:hAnsi="Calibri"/>
          <w:sz w:val="20"/>
        </w:rPr>
        <w:t>Los 11 perfiles de puesto ISO de la organización.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La trazabilidad entre las cuestiones identificadas en este documento y las entradas de MAT-RIE-001 se verifica en cada revisión y ante cambios relevantes del contexto, de modo que ninguna cuestión pertinente quede sin evaluar como riesgo u oportunidad.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10. Control de cambios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Este es un documento controlado. Toda modificación queda registrada en el historial de versiones y la versión vigente es resguardada por la Gerencia Administrativa (custodio del SGC).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Responsable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1.0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 con SolarPro] Asentar al aprobarse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 del análisis de contexto (FODA/PESTEL) para validación.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 (custodio del SGC)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11. Aprobación y firmas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 aprobación de este documento se formaliza con las firmas de los roles responsables. Conforme a la convención de roles y no nombres del Manual MC-SP-01, los responsables se identifican por su puesto.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Acción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Rol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Nombre y firma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Elaboró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Responsables designados del análisis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 con SolarPro]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 con SolarPro]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Revisó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 (custodio del SGC)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 con SolarPro]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 con SolarPro]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Aprobó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Dirección General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 con SolarPro]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 con SolarPro]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Recabar puestos formales, nombres y firmas de los responsables de elaboración, revisión y aprobación, y asentar las fechas correspondientes al formalizarse el documento.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APROBACIÓN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</w:t>
              <w:br/>
              <w:t>Gerencia Administrativa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Aprobó</w:t>
              <w:br/>
              <w:t>Dirección General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Análisis FODA / PESTEL · FOD-001 V1</w:t>
    </w:r>
    <w:r>
      <w:tab/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PAGE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rPr>
        <w:color w:val="595959"/>
        <w:sz w:val="15"/>
      </w:rPr>
      <w:t xml:space="preserve"> / </w:t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NUMPAGES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