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1200"/>
        <w:jc w:val="center"/>
      </w:pPr>
      <w:r>
        <w:drawing>
          <wp:inline xmlns:a="http://schemas.openxmlformats.org/drawingml/2006/main" xmlns:pic="http://schemas.openxmlformats.org/drawingml/2006/picture">
            <wp:extent cx="2340000" cy="768857"/>
            <wp:docPr id="1" name="Picture 1"/>
            <wp:cNvGraphicFramePr>
              <a:graphicFrameLocks noChangeAspect="1"/>
            </wp:cNvGraphicFramePr>
            <a:graphic>
              <a:graphicData uri="http://schemas.openxmlformats.org/drawingml/2006/picture">
                <pic:pic>
                  <pic:nvPicPr>
                    <pic:cNvPr id="0" name="paneles-solares-chihuahua-financiamiento-cotizacion-credito-energia-solar-cibanco-solarpro-sustainable-energy-logo.png"/>
                    <pic:cNvPicPr/>
                  </pic:nvPicPr>
                  <pic:blipFill>
                    <a:blip r:embed="rId10"/>
                    <a:stretch>
                      <a:fillRect/>
                    </a:stretch>
                  </pic:blipFill>
                  <pic:spPr>
                    <a:xfrm>
                      <a:off x="0" y="0"/>
                      <a:ext cx="2340000" cy="768857"/>
                    </a:xfrm>
                    <a:prstGeom prst="rect"/>
                  </pic:spPr>
                </pic:pic>
              </a:graphicData>
            </a:graphic>
          </wp:inline>
        </w:drawing>
      </w:r>
    </w:p>
    <w:p>
      <w:pPr>
        <w:spacing w:before="800"/>
        <w:jc w:val="center"/>
      </w:pPr>
      <w:r>
        <w:rPr>
          <w:rFonts w:ascii="Calibri" w:hAnsi="Calibri"/>
          <w:b/>
          <w:color w:val="595959"/>
          <w:sz w:val="22"/>
        </w:rPr>
        <w:t>SISTEMA DE GESTIÓN DE CALIDAD ISO 9001:2015</w:t>
      </w:r>
    </w:p>
    <w:p>
      <w:pPr>
        <w:spacing w:before="120" w:after="40"/>
        <w:jc w:val="center"/>
      </w:pPr>
      <w:r>
        <w:rPr>
          <w:rFonts w:ascii="Georgia" w:hAnsi="Georgia"/>
          <w:b/>
          <w:color w:val="0056B4"/>
          <w:sz w:val="60"/>
        </w:rPr>
        <w:t>Auditoría Interna</w:t>
      </w:r>
    </w:p>
    <w:p>
      <w:pPr>
        <w:jc w:val="center"/>
      </w:pPr>
      <w:r>
        <w:rPr>
          <w:color w:val="F0E528"/>
          <w:sz w:val="24"/>
        </w:rPr>
        <w:t>________</w:t>
      </w:r>
    </w:p>
    <w:p>
      <w:pPr>
        <w:jc w:val="center"/>
      </w:pPr>
      <w:r>
        <w:rPr>
          <w:rFonts w:ascii="Georgia" w:hAnsi="Georgia"/>
          <w:i/>
          <w:color w:val="595959"/>
          <w:sz w:val="26"/>
        </w:rPr>
        <w:t>Procedimiento y Programa Anual de Auditoría del SGC</w:t>
      </w:r>
    </w:p>
    <w:p>
      <w:pPr>
        <w:spacing w:before="600"/>
        <w:jc w:val="center"/>
      </w:pPr>
      <w:r>
        <w:rPr>
          <w:b/>
          <w:color w:val="1C242E"/>
          <w:sz w:val="22"/>
        </w:rPr>
        <w:t>Soluciones Energéticas JEA S.A. de C.V. (SolarPro)</w:t>
      </w:r>
    </w:p>
    <w:p>
      <w:pPr>
        <w:jc w:val="center"/>
      </w:pPr>
      <w:r>
        <w:rPr>
          <w:color w:val="595959"/>
          <w:sz w:val="20"/>
        </w:rPr>
        <w:t>PRG-AUD-001  ·  Versión 1  ·  08 de septiembre de 2026</w:t>
      </w:r>
    </w:p>
    <w:p>
      <w:pPr>
        <w:spacing w:before="120"/>
        <w:jc w:val="center"/>
      </w:pPr>
      <w:r>
        <w:rPr>
          <w:color w:val="595959"/>
          <w:sz w:val="18"/>
        </w:rPr>
        <w:t>Elaboró DETA Consultores</w:t>
      </w:r>
    </w:p>
    <w:p>
      <w:pPr>
        <w:jc w:val="center"/>
      </w:pPr>
      <w:r>
        <w:rPr>
          <w:i/>
          <w:color w:val="595959"/>
          <w:sz w:val="18"/>
        </w:rPr>
        <w:t>Borrador para validación</w:t>
      </w:r>
    </w:p>
    <w:p>
      <w:r>
        <w:br w:type="page"/>
      </w:r>
    </w:p>
    <w:p>
      <w:pPr>
        <w:keepNext/>
        <w:spacing w:before="280" w:after="80"/>
        <w:pBdr>
          <w:bottom w:val="single" w:sz="8" w:color="F0E528"/>
        </w:pBdr>
      </w:pPr>
      <w:r>
        <w:rPr>
          <w:rFonts w:ascii="Georgia" w:hAnsi="Georgia"/>
          <w:b/>
          <w:color w:val="0056B4"/>
          <w:sz w:val="26"/>
        </w:rPr>
        <w:t>CONTROL DEL DOCUMENTO</w:t>
      </w:r>
    </w:p>
    <w:tbl>
      <w:tblPr>
        <w:tblW w:type="auto" w:w="0"/>
        <w:tblLook w:firstColumn="1" w:firstRow="1" w:lastColumn="0" w:lastRow="0" w:noHBand="0" w:noVBand="1" w:val="04A0"/>
        <w:tblBorders>
          <w:top w:val="single" w:sz="4" w:color="808080"/>
          <w:left w:val="single" w:sz="4" w:color="808080"/>
          <w:bottom w:val="single" w:sz="4" w:color="808080"/>
          <w:right w:val="single" w:sz="4" w:color="808080"/>
          <w:insideH w:val="single" w:sz="4" w:color="808080"/>
          <w:insideV w:val="single" w:sz="4" w:color="808080"/>
        </w:tblBorders>
      </w:tblPr>
      <w:tblGrid>
        <w:gridCol w:w="4986"/>
        <w:gridCol w:w="4986"/>
      </w:tblGrid>
      <w:tr>
        <w:tc>
          <w:tcPr>
            <w:tcW w:type="dxa" w:w="3191"/>
            <w:shd w:val="clear" w:fill="F2F2F2"/>
          </w:tcPr>
          <w:p>
            <w:r/>
            <w:r>
              <w:rPr>
                <w:rFonts w:ascii="Calibri" w:hAnsi="Calibri"/>
                <w:b/>
                <w:sz w:val="18"/>
              </w:rPr>
              <w:t>Código</w:t>
            </w:r>
          </w:p>
        </w:tc>
        <w:tc>
          <w:tcPr>
            <w:tcW w:type="dxa" w:w="6781"/>
          </w:tcPr>
          <w:p>
            <w:r/>
            <w:r>
              <w:rPr>
                <w:rFonts w:ascii="Calibri" w:hAnsi="Calibri"/>
                <w:b w:val="0"/>
                <w:sz w:val="18"/>
              </w:rPr>
              <w:t>PRG-AUD-001</w:t>
            </w:r>
          </w:p>
        </w:tc>
      </w:tr>
      <w:tr>
        <w:tc>
          <w:tcPr>
            <w:tcW w:type="dxa" w:w="3191"/>
            <w:shd w:val="clear" w:fill="F2F2F2"/>
          </w:tcPr>
          <w:p>
            <w:r/>
            <w:r>
              <w:rPr>
                <w:rFonts w:ascii="Calibri" w:hAnsi="Calibri"/>
                <w:b/>
                <w:sz w:val="18"/>
              </w:rPr>
              <w:t>Versión</w:t>
            </w:r>
          </w:p>
        </w:tc>
        <w:tc>
          <w:tcPr>
            <w:tcW w:type="dxa" w:w="6781"/>
          </w:tcPr>
          <w:p>
            <w:r/>
            <w:r>
              <w:rPr>
                <w:rFonts w:ascii="Calibri" w:hAnsi="Calibri"/>
                <w:b w:val="0"/>
                <w:sz w:val="18"/>
              </w:rPr>
              <w:t>1</w:t>
            </w:r>
          </w:p>
        </w:tc>
      </w:tr>
      <w:tr>
        <w:tc>
          <w:tcPr>
            <w:tcW w:type="dxa" w:w="3191"/>
            <w:shd w:val="clear" w:fill="F2F2F2"/>
          </w:tcPr>
          <w:p>
            <w:r/>
            <w:r>
              <w:rPr>
                <w:rFonts w:ascii="Calibri" w:hAnsi="Calibri"/>
                <w:b/>
                <w:sz w:val="18"/>
              </w:rPr>
              <w:t>Estado</w:t>
            </w:r>
          </w:p>
        </w:tc>
        <w:tc>
          <w:tcPr>
            <w:tcW w:type="dxa" w:w="6781"/>
          </w:tcPr>
          <w:p>
            <w:r/>
            <w:r>
              <w:rPr>
                <w:rFonts w:ascii="Calibri" w:hAnsi="Calibri"/>
                <w:b w:val="0"/>
                <w:sz w:val="18"/>
              </w:rPr>
              <w:t>Borrador para validación</w:t>
            </w:r>
          </w:p>
        </w:tc>
      </w:tr>
      <w:tr>
        <w:tc>
          <w:tcPr>
            <w:tcW w:type="dxa" w:w="3191"/>
            <w:shd w:val="clear" w:fill="F2F2F2"/>
          </w:tcPr>
          <w:p>
            <w:r/>
            <w:r>
              <w:rPr>
                <w:rFonts w:ascii="Calibri" w:hAnsi="Calibri"/>
                <w:b/>
                <w:sz w:val="18"/>
              </w:rPr>
              <w:t>Fecha de emisión</w:t>
            </w:r>
          </w:p>
        </w:tc>
        <w:tc>
          <w:tcPr>
            <w:tcW w:type="dxa" w:w="6781"/>
          </w:tcPr>
          <w:p>
            <w:r/>
            <w:r>
              <w:rPr>
                <w:rFonts w:ascii="Calibri" w:hAnsi="Calibri"/>
                <w:b w:val="0"/>
                <w:sz w:val="18"/>
              </w:rPr>
              <w:t>08 de septiembre de 2026</w:t>
            </w:r>
          </w:p>
        </w:tc>
      </w:tr>
      <w:tr>
        <w:tc>
          <w:tcPr>
            <w:tcW w:type="dxa" w:w="3191"/>
            <w:shd w:val="clear" w:fill="F2F2F2"/>
          </w:tcPr>
          <w:p>
            <w:r/>
            <w:r>
              <w:rPr>
                <w:rFonts w:ascii="Calibri" w:hAnsi="Calibri"/>
                <w:b/>
                <w:sz w:val="18"/>
              </w:rPr>
              <w:t>Fecha de revisión</w:t>
            </w:r>
          </w:p>
        </w:tc>
        <w:tc>
          <w:tcPr>
            <w:tcW w:type="dxa" w:w="6781"/>
          </w:tcPr>
          <w:p>
            <w:r/>
            <w:r>
              <w:rPr>
                <w:rFonts w:ascii="Calibri" w:hAnsi="Calibri"/>
                <w:b w:val="0"/>
                <w:sz w:val="18"/>
              </w:rPr>
            </w:r>
          </w:p>
        </w:tc>
      </w:tr>
      <w:tr>
        <w:tc>
          <w:tcPr>
            <w:tcW w:type="dxa" w:w="3191"/>
            <w:shd w:val="clear" w:fill="F2F2F2"/>
          </w:tcPr>
          <w:p>
            <w:r/>
            <w:r>
              <w:rPr>
                <w:rFonts w:ascii="Calibri" w:hAnsi="Calibri"/>
                <w:b/>
                <w:sz w:val="18"/>
              </w:rPr>
              <w:t>Custodio del documento</w:t>
            </w:r>
          </w:p>
        </w:tc>
        <w:tc>
          <w:tcPr>
            <w:tcW w:type="dxa" w:w="6781"/>
          </w:tcPr>
          <w:p>
            <w:r/>
            <w:r>
              <w:rPr>
                <w:rFonts w:ascii="Calibri" w:hAnsi="Calibri"/>
                <w:b w:val="0"/>
                <w:sz w:val="18"/>
              </w:rPr>
              <w:t>Gerencia Administrativa</w:t>
            </w:r>
          </w:p>
        </w:tc>
      </w:tr>
      <w:tr>
        <w:tc>
          <w:tcPr>
            <w:tcW w:type="dxa" w:w="3191"/>
            <w:shd w:val="clear" w:fill="F2F2F2"/>
          </w:tcPr>
          <w:p>
            <w:r/>
            <w:r>
              <w:rPr>
                <w:rFonts w:ascii="Calibri" w:hAnsi="Calibri"/>
                <w:b/>
                <w:sz w:val="18"/>
              </w:rPr>
              <w:t>Elabora</w:t>
            </w:r>
          </w:p>
        </w:tc>
        <w:tc>
          <w:tcPr>
            <w:tcW w:type="dxa" w:w="6781"/>
          </w:tcPr>
          <w:p>
            <w:r/>
            <w:r>
              <w:rPr>
                <w:rFonts w:ascii="Calibri" w:hAnsi="Calibri"/>
                <w:b w:val="0"/>
                <w:sz w:val="18"/>
              </w:rPr>
              <w:t>DETA Consultores</w:t>
            </w:r>
          </w:p>
        </w:tc>
      </w:tr>
      <w:tr>
        <w:tc>
          <w:tcPr>
            <w:tcW w:type="dxa" w:w="3191"/>
            <w:shd w:val="clear" w:fill="F2F2F2"/>
          </w:tcPr>
          <w:p>
            <w:r/>
            <w:r>
              <w:rPr>
                <w:rFonts w:ascii="Calibri" w:hAnsi="Calibri"/>
                <w:b/>
                <w:sz w:val="18"/>
              </w:rPr>
              <w:t>Revisa</w:t>
            </w:r>
          </w:p>
        </w:tc>
        <w:tc>
          <w:tcPr>
            <w:tcW w:type="dxa" w:w="6781"/>
          </w:tcPr>
          <w:p>
            <w:r/>
            <w:r>
              <w:rPr>
                <w:rFonts w:ascii="Calibri" w:hAnsi="Calibri"/>
                <w:b w:val="0"/>
                <w:sz w:val="18"/>
              </w:rPr>
              <w:t>Gerencia Administrativa</w:t>
            </w:r>
          </w:p>
        </w:tc>
      </w:tr>
      <w:tr>
        <w:tc>
          <w:tcPr>
            <w:tcW w:type="dxa" w:w="3191"/>
            <w:shd w:val="clear" w:fill="F2F2F2"/>
          </w:tcPr>
          <w:p>
            <w:r/>
            <w:r>
              <w:rPr>
                <w:rFonts w:ascii="Calibri" w:hAnsi="Calibri"/>
                <w:b/>
                <w:sz w:val="18"/>
              </w:rPr>
              <w:t>Aprueba</w:t>
            </w:r>
          </w:p>
        </w:tc>
        <w:tc>
          <w:tcPr>
            <w:tcW w:type="dxa" w:w="6781"/>
          </w:tcPr>
          <w:p>
            <w:r/>
            <w:r>
              <w:rPr>
                <w:rFonts w:ascii="Calibri" w:hAnsi="Calibri"/>
                <w:b w:val="0"/>
                <w:sz w:val="18"/>
              </w:rPr>
              <w:t>Dirección General</w:t>
            </w:r>
          </w:p>
        </w:tc>
      </w:tr>
      <w:tr>
        <w:tc>
          <w:tcPr>
            <w:tcW w:type="dxa" w:w="3191"/>
            <w:shd w:val="clear" w:fill="F2F2F2"/>
          </w:tcPr>
          <w:p>
            <w:r/>
            <w:r>
              <w:rPr>
                <w:rFonts w:ascii="Calibri" w:hAnsi="Calibri"/>
                <w:b/>
                <w:sz w:val="18"/>
              </w:rPr>
              <w:t>Clasificación</w:t>
            </w:r>
          </w:p>
        </w:tc>
        <w:tc>
          <w:tcPr>
            <w:tcW w:type="dxa" w:w="6781"/>
          </w:tcPr>
          <w:p>
            <w:r/>
            <w:r>
              <w:rPr>
                <w:rFonts w:ascii="Calibri" w:hAnsi="Calibri"/>
                <w:b w:val="0"/>
                <w:sz w:val="18"/>
              </w:rPr>
              <w:t>Interno</w:t>
            </w:r>
          </w:p>
        </w:tc>
      </w:tr>
      <w:tr>
        <w:tc>
          <w:tcPr>
            <w:tcW w:type="dxa" w:w="3191"/>
            <w:shd w:val="clear" w:fill="F2F2F2"/>
          </w:tcPr>
          <w:p>
            <w:r/>
            <w:r>
              <w:rPr>
                <w:rFonts w:ascii="Calibri" w:hAnsi="Calibri"/>
                <w:b/>
                <w:sz w:val="18"/>
              </w:rPr>
              <w:t>Razón social</w:t>
            </w:r>
          </w:p>
        </w:tc>
        <w:tc>
          <w:tcPr>
            <w:tcW w:type="dxa" w:w="6781"/>
          </w:tcPr>
          <w:p>
            <w:r/>
            <w:r>
              <w:rPr>
                <w:rFonts w:ascii="Calibri" w:hAnsi="Calibri"/>
                <w:b w:val="0"/>
                <w:sz w:val="18"/>
              </w:rPr>
              <w:t>Soluciones Energéticas JEA S.A. de C.V. (SolarPro)</w:t>
            </w:r>
          </w:p>
        </w:tc>
      </w:tr>
      <w:tr>
        <w:tc>
          <w:tcPr>
            <w:tcW w:type="dxa" w:w="3191"/>
            <w:shd w:val="clear" w:fill="F2F2F2"/>
          </w:tcPr>
          <w:p>
            <w:r/>
            <w:r>
              <w:rPr>
                <w:rFonts w:ascii="Calibri" w:hAnsi="Calibri"/>
                <w:b/>
                <w:sz w:val="18"/>
              </w:rPr>
              <w:t>RFC</w:t>
            </w:r>
          </w:p>
        </w:tc>
        <w:tc>
          <w:tcPr>
            <w:tcW w:type="dxa" w:w="6781"/>
          </w:tcPr>
          <w:p>
            <w:r/>
            <w:r>
              <w:rPr>
                <w:rFonts w:ascii="Calibri" w:hAnsi="Calibri"/>
                <w:b w:val="0"/>
                <w:sz w:val="18"/>
              </w:rPr>
              <w:t>SEJ151105UV7</w:t>
            </w:r>
          </w:p>
        </w:tc>
      </w:tr>
      <w:tr>
        <w:tc>
          <w:tcPr>
            <w:tcW w:type="dxa" w:w="3191"/>
            <w:shd w:val="clear" w:fill="F2F2F2"/>
          </w:tcPr>
          <w:p>
            <w:r/>
            <w:r>
              <w:rPr>
                <w:rFonts w:ascii="Calibri" w:hAnsi="Calibri"/>
                <w:b/>
                <w:sz w:val="18"/>
              </w:rPr>
              <w:t>Sitios cubiertos</w:t>
            </w:r>
          </w:p>
        </w:tc>
        <w:tc>
          <w:tcPr>
            <w:tcW w:type="dxa" w:w="6781"/>
          </w:tcPr>
          <w:p>
            <w:r/>
            <w:r>
              <w:rPr>
                <w:rFonts w:ascii="Calibri" w:hAnsi="Calibri"/>
                <w:b w:val="0"/>
                <w:sz w:val="18"/>
              </w:rPr>
              <w:t>Chihuahua (matriz) y Ciudad Juárez</w:t>
            </w:r>
          </w:p>
        </w:tc>
      </w:tr>
    </w:tbl>
    <w:p>
      <w:pPr>
        <w:keepNext/>
        <w:spacing w:before="280" w:after="80"/>
        <w:pBdr>
          <w:bottom w:val="single" w:sz="8" w:color="F0E528"/>
        </w:pBdr>
      </w:pPr>
      <w:r>
        <w:rPr>
          <w:rFonts w:ascii="Georgia" w:hAnsi="Georgia"/>
          <w:b/>
          <w:color w:val="0056B4"/>
          <w:sz w:val="26"/>
        </w:rPr>
        <w:t>HISTORIAL DE REVISIONES</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2493"/>
        <w:gridCol w:w="2493"/>
        <w:gridCol w:w="2493"/>
        <w:gridCol w:w="2493"/>
      </w:tblGrid>
      <w:tr>
        <w:tc>
          <w:tcPr>
            <w:tcW w:type="dxa" w:w="1197"/>
            <w:shd w:val="clear" w:fill="0056B4"/>
          </w:tcPr>
          <w:p>
            <w:pPr>
              <w:jc w:val="center"/>
            </w:pPr>
            <w:r/>
            <w:r>
              <w:rPr>
                <w:rFonts w:ascii="Calibri" w:hAnsi="Calibri"/>
                <w:b/>
                <w:color w:val="FFFFFF"/>
                <w:sz w:val="17"/>
              </w:rPr>
              <w:t>Versión</w:t>
            </w:r>
          </w:p>
        </w:tc>
        <w:tc>
          <w:tcPr>
            <w:tcW w:type="dxa" w:w="1596"/>
            <w:shd w:val="clear" w:fill="0056B4"/>
          </w:tcPr>
          <w:p>
            <w:pPr>
              <w:jc w:val="center"/>
            </w:pPr>
            <w:r/>
            <w:r>
              <w:rPr>
                <w:rFonts w:ascii="Calibri" w:hAnsi="Calibri"/>
                <w:b/>
                <w:color w:val="FFFFFF"/>
                <w:sz w:val="17"/>
              </w:rPr>
              <w:t>Fecha</w:t>
            </w:r>
          </w:p>
        </w:tc>
        <w:tc>
          <w:tcPr>
            <w:tcW w:type="dxa" w:w="5584"/>
            <w:shd w:val="clear" w:fill="0056B4"/>
          </w:tcPr>
          <w:p>
            <w:pPr>
              <w:jc w:val="center"/>
            </w:pPr>
            <w:r/>
            <w:r>
              <w:rPr>
                <w:rFonts w:ascii="Calibri" w:hAnsi="Calibri"/>
                <w:b/>
                <w:color w:val="FFFFFF"/>
                <w:sz w:val="17"/>
              </w:rPr>
              <w:t>Descripción del cambio</w:t>
            </w:r>
          </w:p>
        </w:tc>
        <w:tc>
          <w:tcPr>
            <w:tcW w:type="dxa" w:w="1596"/>
            <w:shd w:val="clear" w:fill="0056B4"/>
          </w:tcPr>
          <w:p>
            <w:pPr>
              <w:jc w:val="center"/>
            </w:pPr>
            <w:r/>
            <w:r>
              <w:rPr>
                <w:rFonts w:ascii="Calibri" w:hAnsi="Calibri"/>
                <w:b/>
                <w:color w:val="FFFFFF"/>
                <w:sz w:val="17"/>
              </w:rPr>
              <w:t>Elaboró</w:t>
            </w:r>
          </w:p>
        </w:tc>
      </w:tr>
      <w:tr>
        <w:tc>
          <w:tcPr>
            <w:tcW w:type="dxa" w:w="1197"/>
          </w:tcPr>
          <w:p>
            <w:r/>
            <w:r>
              <w:rPr>
                <w:rFonts w:ascii="Calibri" w:hAnsi="Calibri"/>
                <w:b w:val="0"/>
                <w:sz w:val="19"/>
              </w:rPr>
              <w:t>1</w:t>
            </w:r>
          </w:p>
        </w:tc>
        <w:tc>
          <w:tcPr>
            <w:tcW w:type="dxa" w:w="1596"/>
          </w:tcPr>
          <w:p>
            <w:r/>
            <w:r>
              <w:rPr>
                <w:rFonts w:ascii="Calibri" w:hAnsi="Calibri"/>
                <w:b w:val="0"/>
                <w:sz w:val="19"/>
              </w:rPr>
              <w:t>08 de septiembre de 2026</w:t>
            </w:r>
          </w:p>
        </w:tc>
        <w:tc>
          <w:tcPr>
            <w:tcW w:type="dxa" w:w="5584"/>
          </w:tcPr>
          <w:p>
            <w:r/>
            <w:r>
              <w:rPr>
                <w:rFonts w:ascii="Calibri" w:hAnsi="Calibri"/>
                <w:b w:val="0"/>
                <w:sz w:val="19"/>
              </w:rPr>
              <w:t>Emisión inicial.</w:t>
            </w:r>
          </w:p>
        </w:tc>
        <w:tc>
          <w:tcPr>
            <w:tcW w:type="dxa" w:w="1596"/>
          </w:tcPr>
          <w:p>
            <w:r/>
            <w:r>
              <w:rPr>
                <w:rFonts w:ascii="Calibri" w:hAnsi="Calibri"/>
                <w:b w:val="0"/>
                <w:sz w:val="19"/>
              </w:rPr>
              <w:t>DETA Consultores</w:t>
            </w:r>
          </w:p>
        </w:tc>
      </w:tr>
    </w:tbl>
    <w:p>
      <w:pPr>
        <w:keepNext/>
        <w:spacing w:before="280" w:after="80"/>
        <w:pBdr>
          <w:bottom w:val="single" w:sz="8" w:color="F0E528"/>
        </w:pBdr>
      </w:pPr>
      <w:r>
        <w:rPr>
          <w:rFonts w:ascii="Georgia" w:hAnsi="Georgia"/>
          <w:b/>
          <w:color w:val="0056B4"/>
          <w:sz w:val="26"/>
        </w:rPr>
        <w:t>CONTENIDO</w:t>
      </w:r>
    </w:p>
    <w:p>
      <w:pPr>
        <w:spacing w:after="40"/>
      </w:pPr>
      <w:r>
        <w:rPr>
          <w:rFonts w:ascii="Calibri" w:hAnsi="Calibri"/>
          <w:color w:val="1C242E"/>
          <w:sz w:val="20"/>
        </w:rPr>
        <w:t>1. Objetivo y alcance</w:t>
      </w:r>
    </w:p>
    <w:p>
      <w:pPr>
        <w:spacing w:after="40"/>
      </w:pPr>
      <w:r>
        <w:rPr>
          <w:rFonts w:ascii="Calibri" w:hAnsi="Calibri"/>
          <w:color w:val="1C242E"/>
          <w:sz w:val="20"/>
        </w:rPr>
        <w:t>2. Marco normativo y documentos de referencia</w:t>
      </w:r>
    </w:p>
    <w:p>
      <w:pPr>
        <w:spacing w:after="40"/>
      </w:pPr>
      <w:r>
        <w:rPr>
          <w:rFonts w:ascii="Calibri" w:hAnsi="Calibri"/>
          <w:color w:val="1C242E"/>
          <w:sz w:val="20"/>
        </w:rPr>
        <w:t>3. Términos y definiciones</w:t>
      </w:r>
    </w:p>
    <w:p>
      <w:pPr>
        <w:spacing w:after="40"/>
      </w:pPr>
      <w:r>
        <w:rPr>
          <w:rFonts w:ascii="Calibri" w:hAnsi="Calibri"/>
          <w:color w:val="1C242E"/>
          <w:sz w:val="20"/>
        </w:rPr>
        <w:t>4. Criterios de auditoría</w:t>
      </w:r>
    </w:p>
    <w:p>
      <w:pPr>
        <w:spacing w:after="40"/>
      </w:pPr>
      <w:r>
        <w:rPr>
          <w:rFonts w:ascii="Calibri" w:hAnsi="Calibri"/>
          <w:color w:val="1C242E"/>
          <w:sz w:val="20"/>
        </w:rPr>
        <w:t>5. Frecuencia y planificación</w:t>
      </w:r>
    </w:p>
    <w:p>
      <w:pPr>
        <w:spacing w:after="40"/>
      </w:pPr>
      <w:r>
        <w:rPr>
          <w:rFonts w:ascii="Calibri" w:hAnsi="Calibri"/>
          <w:color w:val="1C242E"/>
          <w:sz w:val="20"/>
        </w:rPr>
        <w:t>6. Competencia e independencia del auditor</w:t>
      </w:r>
    </w:p>
    <w:p>
      <w:pPr>
        <w:spacing w:after="40"/>
      </w:pPr>
      <w:r>
        <w:rPr>
          <w:rFonts w:ascii="Calibri" w:hAnsi="Calibri"/>
          <w:color w:val="1C242E"/>
          <w:sz w:val="20"/>
        </w:rPr>
        <w:t>7. Designación del auditor interno</w:t>
      </w:r>
    </w:p>
    <w:p>
      <w:pPr>
        <w:spacing w:after="40"/>
      </w:pPr>
      <w:r>
        <w:rPr>
          <w:rFonts w:ascii="Calibri" w:hAnsi="Calibri"/>
          <w:color w:val="1C242E"/>
          <w:sz w:val="20"/>
        </w:rPr>
        <w:t>8. Refresco de competencia en ISO 9001:2015</w:t>
      </w:r>
    </w:p>
    <w:p>
      <w:pPr>
        <w:spacing w:after="40"/>
      </w:pPr>
      <w:r>
        <w:rPr>
          <w:rFonts w:ascii="Calibri" w:hAnsi="Calibri"/>
          <w:color w:val="1C242E"/>
          <w:sz w:val="20"/>
        </w:rPr>
        <w:t>9. Ejecución de la auditoría</w:t>
      </w:r>
    </w:p>
    <w:p>
      <w:pPr>
        <w:spacing w:after="40"/>
      </w:pPr>
      <w:r>
        <w:rPr>
          <w:rFonts w:ascii="Calibri" w:hAnsi="Calibri"/>
          <w:color w:val="1C242E"/>
          <w:sz w:val="20"/>
        </w:rPr>
        <w:t>10. Informe de auditoría</w:t>
      </w:r>
    </w:p>
    <w:p>
      <w:pPr>
        <w:spacing w:after="40"/>
      </w:pPr>
      <w:r>
        <w:rPr>
          <w:rFonts w:ascii="Calibri" w:hAnsi="Calibri"/>
          <w:color w:val="1C242E"/>
          <w:sz w:val="20"/>
        </w:rPr>
        <w:t>11. Seguimiento y acciones correctivas</w:t>
      </w:r>
    </w:p>
    <w:p>
      <w:pPr>
        <w:spacing w:after="40"/>
      </w:pPr>
      <w:r>
        <w:rPr>
          <w:rFonts w:ascii="Calibri" w:hAnsi="Calibri"/>
          <w:color w:val="1C242E"/>
          <w:sz w:val="20"/>
        </w:rPr>
        <w:t>12. Programa Anual de Auditoría</w:t>
      </w:r>
    </w:p>
    <w:p>
      <w:pPr>
        <w:spacing w:after="40"/>
      </w:pPr>
      <w:r>
        <w:rPr>
          <w:rFonts w:ascii="Calibri" w:hAnsi="Calibri"/>
          <w:color w:val="1C242E"/>
          <w:sz w:val="20"/>
        </w:rPr>
        <w:t>13. Registros y control documental</w:t>
      </w:r>
    </w:p>
    <w:p>
      <w:pPr>
        <w:spacing w:after="40"/>
      </w:pPr>
      <w:r>
        <w:rPr>
          <w:rFonts w:ascii="Calibri" w:hAnsi="Calibri"/>
          <w:color w:val="1C242E"/>
          <w:sz w:val="20"/>
        </w:rPr>
        <w:t>14. Responsabilidades</w:t>
      </w:r>
    </w:p>
    <w:p>
      <w:r>
        <w:br w:type="page"/>
      </w:r>
    </w:p>
    <w:p>
      <w:pPr>
        <w:keepNext/>
        <w:spacing w:before="280" w:after="80"/>
        <w:pBdr>
          <w:bottom w:val="single" w:sz="8" w:color="F0E528"/>
        </w:pBdr>
      </w:pPr>
      <w:r>
        <w:rPr>
          <w:rFonts w:ascii="Georgia" w:hAnsi="Georgia"/>
          <w:b/>
          <w:color w:val="0056B4"/>
          <w:sz w:val="26"/>
        </w:rPr>
        <w:t>1. Objetivo y alcance</w:t>
      </w:r>
    </w:p>
    <w:p>
      <w:pPr>
        <w:spacing w:after="120"/>
      </w:pPr>
      <w:r>
        <w:rPr>
          <w:rFonts w:ascii="Calibri" w:hAnsi="Calibri"/>
          <w:color w:val="1C242E"/>
          <w:sz w:val="21"/>
        </w:rPr>
        <w:t>Establecer la metodología para planificar, ejecutar, informar y dar seguimiento a las auditorías internas del Sistema de Gestión de Calidad de SolarPro, y fijar el programa anual de auditoría, conforme a la cláusula 9.2 de la norma ISO 9001:2015. La auditoría interna verifica que el SGC cumpla los requisitos de la norma y los requisitos propios de SolarPro, y que el sistema se implemente y se mantenga de forma eficaz.</w:t>
      </w:r>
    </w:p>
    <w:p>
      <w:pPr>
        <w:spacing w:after="120"/>
      </w:pPr>
      <w:r>
        <w:rPr>
          <w:rFonts w:ascii="Calibri" w:hAnsi="Calibri"/>
          <w:color w:val="1C242E"/>
          <w:sz w:val="21"/>
        </w:rPr>
        <w:t>Aplica a todos los procesos del Sistema de Gestión de Calidad de SolarPro, del proceso comercial a la postventa, en la matriz de Chihuahua y en la operación de Ciudad Juárez. Cubre las cláusulas 4 a 10 de la norma ISO 9001:2015, el Manual de Calidad MC-SP-01 y los procedimientos, políticas, perfiles y formatos del hub.</w:t>
      </w:r>
    </w:p>
    <w:tbl>
      <w:tblPr>
        <w:tblW w:type="auto" w:w="0"/>
        <w:tblLook w:firstColumn="1" w:firstRow="1" w:lastColumn="0" w:lastRow="0" w:noHBand="0" w:noVBand="1" w:val="04A0"/>
        <w:tblBorders>
          <w:left w:val="single" w:sz="16" w:color="F0E528"/>
        </w:tblBorders>
      </w:tblPr>
      <w:tblGrid>
        <w:gridCol w:w="9972"/>
      </w:tblGrid>
      <w:tr>
        <w:tc>
          <w:tcPr>
            <w:tcW w:type="dxa" w:w="9972"/>
            <w:shd w:val="clear" w:fill="FFF9DB"/>
          </w:tcPr>
          <w:p>
            <w:r/>
            <w:r>
              <w:rPr>
                <w:rFonts w:ascii="Calibri" w:hAnsi="Calibri"/>
                <w:b w:val="0"/>
                <w:color w:val="003D80"/>
                <w:sz w:val="17"/>
              </w:rPr>
              <w:t>Hoy SolarPro no cuenta con una auditoría interna formal. Su puesta en marcha es una acción del SGC prevista en la sección 9.2 del Manual de Calidad MC-SP-01.</w:t>
            </w:r>
          </w:p>
        </w:tc>
      </w:tr>
    </w:tbl>
    <w:p>
      <w:pPr>
        <w:spacing w:after="40"/>
      </w:pPr>
    </w:p>
    <w:p>
      <w:pPr>
        <w:keepNext/>
        <w:spacing w:before="280" w:after="80"/>
        <w:pBdr>
          <w:bottom w:val="single" w:sz="8" w:color="F0E528"/>
        </w:pBdr>
      </w:pPr>
      <w:r>
        <w:rPr>
          <w:rFonts w:ascii="Georgia" w:hAnsi="Georgia"/>
          <w:b/>
          <w:color w:val="0056B4"/>
          <w:sz w:val="26"/>
        </w:rPr>
        <w:t>2. Marco normativo y documentos de referencia</w:t>
      </w:r>
    </w:p>
    <w:p>
      <w:pPr>
        <w:spacing w:after="120"/>
      </w:pPr>
      <w:r>
        <w:rPr>
          <w:rFonts w:ascii="Calibri" w:hAnsi="Calibri"/>
          <w:color w:val="1C242E"/>
          <w:sz w:val="21"/>
        </w:rPr>
        <w:t>Este procedimiento da cumplimiento a los siguientes requisitos y toma como referencia:</w:t>
      </w:r>
    </w:p>
    <w:p>
      <w:pPr>
        <w:pStyle w:val="ListBullet"/>
      </w:pPr>
      <w:r>
        <w:rPr>
          <w:rFonts w:ascii="Calibri" w:hAnsi="Calibri"/>
          <w:sz w:val="20"/>
        </w:rPr>
        <w:t>ISO 9001:2015, cláusula 9.2, Auditoría interna, y su enganche con la 9.3, Revisión por la dirección, y la 10.2, No conformidad y acción correctiva.</w:t>
      </w:r>
    </w:p>
    <w:p>
      <w:pPr>
        <w:pStyle w:val="ListBullet"/>
      </w:pPr>
      <w:r>
        <w:rPr>
          <w:rFonts w:ascii="Calibri" w:hAnsi="Calibri"/>
          <w:sz w:val="20"/>
        </w:rPr>
        <w:t>ISO 19011:2018, directrices para la auditoría de sistemas de gestión, como referencia de buenas prácticas.</w:t>
      </w:r>
    </w:p>
    <w:p>
      <w:pPr>
        <w:pStyle w:val="ListBullet"/>
      </w:pPr>
      <w:r>
        <w:rPr>
          <w:rFonts w:ascii="Calibri" w:hAnsi="Calibri"/>
          <w:sz w:val="20"/>
        </w:rPr>
        <w:t>Manual de Calidad MC-SP-01, secciones 9.2, 9.3 y 10.2.</w:t>
      </w:r>
    </w:p>
    <w:p>
      <w:pPr>
        <w:pStyle w:val="ListBullet"/>
      </w:pPr>
      <w:r>
        <w:rPr>
          <w:rFonts w:ascii="Calibri" w:hAnsi="Calibri"/>
          <w:sz w:val="20"/>
        </w:rPr>
        <w:t>Procedimientos del hub: proceso troncal SOL-PROC-001, Comercial (PRO-VEN), Ingeniería (PRO-ING) y Postventa (PRO-PVM).</w:t>
      </w:r>
    </w:p>
    <w:p>
      <w:pPr>
        <w:pStyle w:val="ListBullet"/>
      </w:pPr>
      <w:r>
        <w:rPr>
          <w:rFonts w:ascii="Calibri" w:hAnsi="Calibri"/>
          <w:sz w:val="20"/>
        </w:rPr>
        <w:t>Políticas, perfiles de puesto y formatos vigentes en el hub.</w:t>
      </w:r>
    </w:p>
    <w:p>
      <w:pPr>
        <w:pStyle w:val="ListBullet"/>
      </w:pPr>
      <w:r>
        <w:rPr>
          <w:rFonts w:ascii="Calibri" w:hAnsi="Calibri"/>
          <w:sz w:val="20"/>
        </w:rPr>
        <w:t>Requisitos legales aplicables, en particular la NOM-001-SEDE y los de CFE, y los requisitos del cliente y de las licitaciones.</w:t>
      </w:r>
    </w:p>
    <w:p>
      <w:pPr>
        <w:keepNext/>
        <w:spacing w:before="280" w:after="80"/>
        <w:pBdr>
          <w:bottom w:val="single" w:sz="8" w:color="F0E528"/>
        </w:pBdr>
      </w:pPr>
      <w:r>
        <w:rPr>
          <w:rFonts w:ascii="Georgia" w:hAnsi="Georgia"/>
          <w:b/>
          <w:color w:val="0056B4"/>
          <w:sz w:val="26"/>
        </w:rPr>
        <w:t>3. Términos y definiciones</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4986"/>
        <w:gridCol w:w="4986"/>
      </w:tblGrid>
      <w:tr>
        <w:tc>
          <w:tcPr>
            <w:tcW w:type="dxa" w:w="2792"/>
            <w:shd w:val="clear" w:fill="0056B4"/>
          </w:tcPr>
          <w:p>
            <w:pPr>
              <w:jc w:val="center"/>
            </w:pPr>
            <w:r/>
            <w:r>
              <w:rPr>
                <w:rFonts w:ascii="Calibri" w:hAnsi="Calibri"/>
                <w:b/>
                <w:color w:val="FFFFFF"/>
                <w:sz w:val="17"/>
              </w:rPr>
              <w:t>Término</w:t>
            </w:r>
          </w:p>
        </w:tc>
        <w:tc>
          <w:tcPr>
            <w:tcW w:type="dxa" w:w="7180"/>
            <w:shd w:val="clear" w:fill="0056B4"/>
          </w:tcPr>
          <w:p>
            <w:pPr>
              <w:jc w:val="center"/>
            </w:pPr>
            <w:r/>
            <w:r>
              <w:rPr>
                <w:rFonts w:ascii="Calibri" w:hAnsi="Calibri"/>
                <w:b/>
                <w:color w:val="FFFFFF"/>
                <w:sz w:val="17"/>
              </w:rPr>
              <w:t>Definición</w:t>
            </w:r>
          </w:p>
        </w:tc>
      </w:tr>
      <w:tr>
        <w:tc>
          <w:tcPr>
            <w:tcW w:type="dxa" w:w="2792"/>
          </w:tcPr>
          <w:p>
            <w:r/>
            <w:r>
              <w:rPr>
                <w:rFonts w:ascii="Calibri" w:hAnsi="Calibri"/>
                <w:b w:val="0"/>
                <w:sz w:val="19"/>
              </w:rPr>
              <w:t>Auditoría interna</w:t>
            </w:r>
          </w:p>
        </w:tc>
        <w:tc>
          <w:tcPr>
            <w:tcW w:type="dxa" w:w="7180"/>
          </w:tcPr>
          <w:p>
            <w:r/>
            <w:r>
              <w:rPr>
                <w:rFonts w:ascii="Calibri" w:hAnsi="Calibri"/>
                <w:b w:val="0"/>
                <w:sz w:val="19"/>
              </w:rPr>
              <w:t>Proceso sistemático e independiente para obtener evidencia y evaluarla de forma objetiva contra los criterios de auditoría del SGC.</w:t>
            </w:r>
          </w:p>
        </w:tc>
      </w:tr>
      <w:tr>
        <w:tc>
          <w:tcPr>
            <w:tcW w:type="dxa" w:w="2792"/>
          </w:tcPr>
          <w:p>
            <w:r/>
            <w:r>
              <w:rPr>
                <w:rFonts w:ascii="Calibri" w:hAnsi="Calibri"/>
                <w:b w:val="0"/>
                <w:sz w:val="19"/>
              </w:rPr>
              <w:t>Auditor</w:t>
            </w:r>
          </w:p>
        </w:tc>
        <w:tc>
          <w:tcPr>
            <w:tcW w:type="dxa" w:w="7180"/>
          </w:tcPr>
          <w:p>
            <w:r/>
            <w:r>
              <w:rPr>
                <w:rFonts w:ascii="Calibri" w:hAnsi="Calibri"/>
                <w:b w:val="0"/>
                <w:sz w:val="19"/>
              </w:rPr>
              <w:t>Persona designada por la Dirección con la competencia para realizar la auditoría, que no audita su propio trabajo.</w:t>
            </w:r>
          </w:p>
        </w:tc>
      </w:tr>
      <w:tr>
        <w:tc>
          <w:tcPr>
            <w:tcW w:type="dxa" w:w="2792"/>
          </w:tcPr>
          <w:p>
            <w:r/>
            <w:r>
              <w:rPr>
                <w:rFonts w:ascii="Calibri" w:hAnsi="Calibri"/>
                <w:b w:val="0"/>
                <w:sz w:val="19"/>
              </w:rPr>
              <w:t>Criterios de auditoría</w:t>
            </w:r>
          </w:p>
        </w:tc>
        <w:tc>
          <w:tcPr>
            <w:tcW w:type="dxa" w:w="7180"/>
          </w:tcPr>
          <w:p>
            <w:r/>
            <w:r>
              <w:rPr>
                <w:rFonts w:ascii="Calibri" w:hAnsi="Calibri"/>
                <w:b w:val="0"/>
                <w:sz w:val="19"/>
              </w:rPr>
              <w:t>Conjunto de requisitos contra los que se compara la evidencia: la norma, el manual, los procedimientos, las políticas y los requisitos legales y del cliente.</w:t>
            </w:r>
          </w:p>
        </w:tc>
      </w:tr>
      <w:tr>
        <w:tc>
          <w:tcPr>
            <w:tcW w:type="dxa" w:w="2792"/>
          </w:tcPr>
          <w:p>
            <w:r/>
            <w:r>
              <w:rPr>
                <w:rFonts w:ascii="Calibri" w:hAnsi="Calibri"/>
                <w:b w:val="0"/>
                <w:sz w:val="19"/>
              </w:rPr>
              <w:t>Evidencia de la auditoría</w:t>
            </w:r>
          </w:p>
        </w:tc>
        <w:tc>
          <w:tcPr>
            <w:tcW w:type="dxa" w:w="7180"/>
          </w:tcPr>
          <w:p>
            <w:r/>
            <w:r>
              <w:rPr>
                <w:rFonts w:ascii="Calibri" w:hAnsi="Calibri"/>
                <w:b w:val="0"/>
                <w:sz w:val="19"/>
              </w:rPr>
              <w:t>Registros, declaraciones y demás información verificable pertinente a los criterios de auditoría.</w:t>
            </w:r>
          </w:p>
        </w:tc>
      </w:tr>
      <w:tr>
        <w:tc>
          <w:tcPr>
            <w:tcW w:type="dxa" w:w="2792"/>
          </w:tcPr>
          <w:p>
            <w:r/>
            <w:r>
              <w:rPr>
                <w:rFonts w:ascii="Calibri" w:hAnsi="Calibri"/>
                <w:b w:val="0"/>
                <w:sz w:val="19"/>
              </w:rPr>
              <w:t>Hallazgo</w:t>
            </w:r>
          </w:p>
        </w:tc>
        <w:tc>
          <w:tcPr>
            <w:tcW w:type="dxa" w:w="7180"/>
          </w:tcPr>
          <w:p>
            <w:r/>
            <w:r>
              <w:rPr>
                <w:rFonts w:ascii="Calibri" w:hAnsi="Calibri"/>
                <w:b w:val="0"/>
                <w:sz w:val="19"/>
              </w:rPr>
              <w:t>Resultado de comparar la evidencia con los criterios; puede ser conformidad, no conformidad u observación.</w:t>
            </w:r>
          </w:p>
        </w:tc>
      </w:tr>
      <w:tr>
        <w:tc>
          <w:tcPr>
            <w:tcW w:type="dxa" w:w="2792"/>
          </w:tcPr>
          <w:p>
            <w:r/>
            <w:r>
              <w:rPr>
                <w:rFonts w:ascii="Calibri" w:hAnsi="Calibri"/>
                <w:b w:val="0"/>
                <w:sz w:val="19"/>
              </w:rPr>
              <w:t>No conformidad</w:t>
            </w:r>
          </w:p>
        </w:tc>
        <w:tc>
          <w:tcPr>
            <w:tcW w:type="dxa" w:w="7180"/>
          </w:tcPr>
          <w:p>
            <w:r/>
            <w:r>
              <w:rPr>
                <w:rFonts w:ascii="Calibri" w:hAnsi="Calibri"/>
                <w:b w:val="0"/>
                <w:sz w:val="19"/>
              </w:rPr>
              <w:t>Incumplimiento de un requisito de la norma, del manual, de un procedimiento o de un requisito legal o del cliente.</w:t>
            </w:r>
          </w:p>
        </w:tc>
      </w:tr>
      <w:tr>
        <w:tc>
          <w:tcPr>
            <w:tcW w:type="dxa" w:w="2792"/>
          </w:tcPr>
          <w:p>
            <w:r/>
            <w:r>
              <w:rPr>
                <w:rFonts w:ascii="Calibri" w:hAnsi="Calibri"/>
                <w:b w:val="0"/>
                <w:sz w:val="19"/>
              </w:rPr>
              <w:t>Observación</w:t>
            </w:r>
          </w:p>
        </w:tc>
        <w:tc>
          <w:tcPr>
            <w:tcW w:type="dxa" w:w="7180"/>
          </w:tcPr>
          <w:p>
            <w:r/>
            <w:r>
              <w:rPr>
                <w:rFonts w:ascii="Calibri" w:hAnsi="Calibri"/>
                <w:b w:val="0"/>
                <w:sz w:val="19"/>
              </w:rPr>
              <w:t>Situación que aún no incumple un requisito pero que puede derivar en no conformidad si no se atiende.</w:t>
            </w:r>
          </w:p>
        </w:tc>
      </w:tr>
      <w:tr>
        <w:tc>
          <w:tcPr>
            <w:tcW w:type="dxa" w:w="2792"/>
          </w:tcPr>
          <w:p>
            <w:r/>
            <w:r>
              <w:rPr>
                <w:rFonts w:ascii="Calibri" w:hAnsi="Calibri"/>
                <w:b w:val="0"/>
                <w:sz w:val="19"/>
              </w:rPr>
              <w:t>Conformidad</w:t>
            </w:r>
          </w:p>
        </w:tc>
        <w:tc>
          <w:tcPr>
            <w:tcW w:type="dxa" w:w="7180"/>
          </w:tcPr>
          <w:p>
            <w:r/>
            <w:r>
              <w:rPr>
                <w:rFonts w:ascii="Calibri" w:hAnsi="Calibri"/>
                <w:b w:val="0"/>
                <w:sz w:val="19"/>
              </w:rPr>
              <w:t>Cumplimiento de un requisito verificado con evidencia objetiva.</w:t>
            </w:r>
          </w:p>
        </w:tc>
      </w:tr>
    </w:tbl>
    <w:p>
      <w:pPr>
        <w:keepNext/>
        <w:spacing w:before="280" w:after="80"/>
        <w:pBdr>
          <w:bottom w:val="single" w:sz="8" w:color="F0E528"/>
        </w:pBdr>
      </w:pPr>
      <w:r>
        <w:rPr>
          <w:rFonts w:ascii="Georgia" w:hAnsi="Georgia"/>
          <w:b/>
          <w:color w:val="0056B4"/>
          <w:sz w:val="26"/>
        </w:rPr>
        <w:t>4. Criterios de auditoría</w:t>
      </w:r>
    </w:p>
    <w:p>
      <w:pPr>
        <w:spacing w:after="120"/>
      </w:pPr>
      <w:r>
        <w:rPr>
          <w:rFonts w:ascii="Calibri" w:hAnsi="Calibri"/>
          <w:color w:val="1C242E"/>
          <w:sz w:val="21"/>
        </w:rPr>
        <w:t>La auditoría interna compara la evidencia recolectada contra los siguientes criterios:</w:t>
      </w:r>
    </w:p>
    <w:p>
      <w:pPr>
        <w:pStyle w:val="ListBullet"/>
      </w:pPr>
      <w:r>
        <w:rPr>
          <w:rFonts w:ascii="Calibri" w:hAnsi="Calibri"/>
          <w:sz w:val="20"/>
        </w:rPr>
        <w:t>La norma ISO 9001:2015, cláusulas 4 a 10.</w:t>
      </w:r>
    </w:p>
    <w:p>
      <w:pPr>
        <w:pStyle w:val="ListBullet"/>
      </w:pPr>
      <w:r>
        <w:rPr>
          <w:rFonts w:ascii="Calibri" w:hAnsi="Calibri"/>
          <w:sz w:val="20"/>
        </w:rPr>
        <w:t>El Manual de Calidad MC-SP-01 y la Política de Calidad.</w:t>
      </w:r>
    </w:p>
    <w:p>
      <w:pPr>
        <w:pStyle w:val="ListBullet"/>
      </w:pPr>
      <w:r>
        <w:rPr>
          <w:rFonts w:ascii="Calibri" w:hAnsi="Calibri"/>
          <w:sz w:val="20"/>
        </w:rPr>
        <w:t>Los procedimientos del hub: SOL-PROC-001, PRO-VEN, PRO-ING y PRO-PVM.</w:t>
      </w:r>
    </w:p>
    <w:p>
      <w:pPr>
        <w:pStyle w:val="ListBullet"/>
      </w:pPr>
      <w:r>
        <w:rPr>
          <w:rFonts w:ascii="Calibri" w:hAnsi="Calibri"/>
          <w:sz w:val="20"/>
        </w:rPr>
        <w:t>Las políticas, los perfiles de puesto y los formatos vigentes.</w:t>
      </w:r>
    </w:p>
    <w:p>
      <w:pPr>
        <w:pStyle w:val="ListBullet"/>
      </w:pPr>
      <w:r>
        <w:rPr>
          <w:rFonts w:ascii="Calibri" w:hAnsi="Calibri"/>
          <w:sz w:val="20"/>
        </w:rPr>
        <w:t>Los requisitos legales aplicables, en particular la NOM-001-SEDE y los de CFE.</w:t>
      </w:r>
    </w:p>
    <w:p>
      <w:pPr>
        <w:pStyle w:val="ListBullet"/>
      </w:pPr>
      <w:r>
        <w:rPr>
          <w:rFonts w:ascii="Calibri" w:hAnsi="Calibri"/>
          <w:sz w:val="20"/>
        </w:rPr>
        <w:t>Los requisitos del cliente y los compromisos asumidos en las licitaciones.</w:t>
      </w:r>
    </w:p>
    <w:p>
      <w:pPr>
        <w:keepNext/>
        <w:spacing w:before="280" w:after="80"/>
        <w:pBdr>
          <w:bottom w:val="single" w:sz="8" w:color="F0E528"/>
        </w:pBdr>
      </w:pPr>
      <w:r>
        <w:rPr>
          <w:rFonts w:ascii="Georgia" w:hAnsi="Georgia"/>
          <w:b/>
          <w:color w:val="0056B4"/>
          <w:sz w:val="26"/>
        </w:rPr>
        <w:t>5. Frecuencia y planificación</w:t>
      </w:r>
    </w:p>
    <w:p>
      <w:pPr>
        <w:spacing w:after="120"/>
      </w:pPr>
      <w:r>
        <w:rPr>
          <w:rFonts w:ascii="Calibri" w:hAnsi="Calibri"/>
          <w:color w:val="1C242E"/>
          <w:sz w:val="21"/>
        </w:rPr>
        <w:t>El Sistema de Gestión de Calidad se audita con frecuencia semestral, conforme a la sección 9.2 del Manual de Calidad MC-SP-01. El programa anual distribuye la auditoría en dos ciclos, de modo que en el año se cubran las cláusulas 4 a 10 de la norma y todos los procesos del SGC.</w:t>
      </w:r>
    </w:p>
    <w:p>
      <w:pPr>
        <w:spacing w:after="120"/>
      </w:pPr>
      <w:r>
        <w:rPr>
          <w:rFonts w:ascii="Calibri" w:hAnsi="Calibri"/>
          <w:color w:val="1C242E"/>
          <w:sz w:val="21"/>
        </w:rPr>
        <w:t>Al inicio del periodo, la Gerencia Administrativa, como custodio del SGC, elabora el programa anual de auditoría, lo somete a la aprobación de la Dirección General y lo comunica a las áreas. El programa considera el estado y la importancia de los procesos, los resultados de auditorías previas y los cambios que afecten al SGC.</w:t>
      </w:r>
    </w:p>
    <w:tbl>
      <w:tblPr>
        <w:tblW w:type="auto" w:w="0"/>
        <w:tblLook w:firstColumn="1" w:firstRow="1" w:lastColumn="0" w:lastRow="0" w:noHBand="0" w:noVBand="1" w:val="04A0"/>
        <w:tblBorders>
          <w:left w:val="single" w:sz="16" w:color="F0E528"/>
        </w:tblBorders>
      </w:tblPr>
      <w:tblGrid>
        <w:gridCol w:w="9972"/>
      </w:tblGrid>
      <w:tr>
        <w:tc>
          <w:tcPr>
            <w:tcW w:type="dxa" w:w="9972"/>
            <w:shd w:val="clear" w:fill="FFF9DB"/>
          </w:tcPr>
          <w:p>
            <w:r/>
            <w:r>
              <w:rPr>
                <w:rFonts w:ascii="Calibri" w:hAnsi="Calibri"/>
                <w:b w:val="0"/>
                <w:color w:val="003D80"/>
                <w:sz w:val="17"/>
              </w:rPr>
              <w:t>Se puede programar una auditoría extraordinaria ante cambios mayores en la operación, ante hallazgos que lo justifiquen o de forma previa a una licitación o a una auditoría de certificación.</w:t>
            </w:r>
          </w:p>
        </w:tc>
      </w:tr>
    </w:tbl>
    <w:p>
      <w:pPr>
        <w:spacing w:after="40"/>
      </w:pPr>
    </w:p>
    <w:p>
      <w:pPr>
        <w:keepNext/>
        <w:spacing w:before="280" w:after="80"/>
        <w:pBdr>
          <w:bottom w:val="single" w:sz="8" w:color="F0E528"/>
        </w:pBdr>
      </w:pPr>
      <w:r>
        <w:rPr>
          <w:rFonts w:ascii="Georgia" w:hAnsi="Georgia"/>
          <w:b/>
          <w:color w:val="0056B4"/>
          <w:sz w:val="26"/>
        </w:rPr>
        <w:t>6. Competencia e independencia del auditor</w:t>
      </w:r>
    </w:p>
    <w:p>
      <w:pPr>
        <w:spacing w:after="120"/>
      </w:pPr>
      <w:r>
        <w:rPr>
          <w:rFonts w:ascii="Calibri" w:hAnsi="Calibri"/>
          <w:color w:val="1C242E"/>
          <w:sz w:val="21"/>
        </w:rPr>
        <w:t>El auditor interno reúne la competencia necesaria para evaluar el SGC con objetividad. La competencia mínima requerida es:</w:t>
      </w:r>
    </w:p>
    <w:p>
      <w:pPr>
        <w:pStyle w:val="ListBullet"/>
      </w:pPr>
      <w:r>
        <w:rPr>
          <w:rFonts w:ascii="Calibri" w:hAnsi="Calibri"/>
          <w:sz w:val="20"/>
        </w:rPr>
        <w:t>Conocimiento de los requisitos de la norma ISO 9001:2015.</w:t>
      </w:r>
    </w:p>
    <w:p>
      <w:pPr>
        <w:pStyle w:val="ListBullet"/>
      </w:pPr>
      <w:r>
        <w:rPr>
          <w:rFonts w:ascii="Calibri" w:hAnsi="Calibri"/>
          <w:sz w:val="20"/>
        </w:rPr>
        <w:t>Conocimiento de los procesos de SolarPro y de la documentación del SGC en el hub.</w:t>
      </w:r>
    </w:p>
    <w:p>
      <w:pPr>
        <w:pStyle w:val="ListBullet"/>
      </w:pPr>
      <w:r>
        <w:rPr>
          <w:rFonts w:ascii="Calibri" w:hAnsi="Calibri"/>
          <w:sz w:val="20"/>
        </w:rPr>
        <w:t>Formación o refresco en técnicas de auditoría, conforme a la sección 8 de este documento.</w:t>
      </w:r>
    </w:p>
    <w:p>
      <w:pPr>
        <w:pStyle w:val="ListBullet"/>
      </w:pPr>
      <w:r>
        <w:rPr>
          <w:rFonts w:ascii="Calibri" w:hAnsi="Calibri"/>
          <w:sz w:val="20"/>
        </w:rPr>
        <w:t>Capacidad para recolectar evidencia objetiva y para redactar hallazgos con referencia a la cláusula o criterio incumplido.</w:t>
      </w:r>
    </w:p>
    <w:p>
      <w:pPr>
        <w:spacing w:after="120"/>
      </w:pPr>
      <w:r>
        <w:rPr>
          <w:rFonts w:ascii="Calibri" w:hAnsi="Calibri"/>
          <w:color w:val="1C242E"/>
          <w:sz w:val="21"/>
        </w:rPr>
        <w:t>Para asegurar la objetividad e imparcialidad que exige la norma, el auditor no audita su propio trabajo ni el área de la que es responsable. Dado que la Gerencia Administrativa coordina el SGC y custodia el manual, los procesos a su cargo se asignan a un auditor alterno independiente.</w:t>
      </w:r>
    </w:p>
    <w:tbl>
      <w:tblPr>
        <w:tblW w:type="auto" w:w="0"/>
        <w:tblLook w:firstColumn="1" w:firstRow="1" w:lastColumn="0" w:lastRow="0" w:noHBand="0" w:noVBand="1" w:val="04A0"/>
        <w:tblBorders>
          <w:left w:val="single" w:sz="16" w:color="F0E528"/>
        </w:tblBorders>
      </w:tblPr>
      <w:tblGrid>
        <w:gridCol w:w="9972"/>
      </w:tblGrid>
      <w:tr>
        <w:tc>
          <w:tcPr>
            <w:tcW w:type="dxa" w:w="9972"/>
            <w:shd w:val="clear" w:fill="FFF9DB"/>
          </w:tcPr>
          <w:p>
            <w:r/>
            <w:r>
              <w:rPr>
                <w:rFonts w:ascii="Calibri" w:hAnsi="Calibri"/>
                <w:b w:val="0"/>
                <w:color w:val="003D80"/>
                <w:sz w:val="17"/>
              </w:rPr>
              <w:t>El auditor alterno independiente puede ser otro rol competente de SolarPro ajeno al área auditada o un auditor externo. Su designación se define junto con la del auditor interno titular.</w:t>
            </w:r>
          </w:p>
        </w:tc>
      </w:tr>
    </w:tbl>
    <w:p>
      <w:pPr>
        <w:spacing w:after="40"/>
      </w:pPr>
    </w:p>
    <w:p>
      <w:pPr>
        <w:keepNext/>
        <w:spacing w:before="280" w:after="80"/>
        <w:pBdr>
          <w:bottom w:val="single" w:sz="8" w:color="F0E528"/>
        </w:pBdr>
      </w:pPr>
      <w:r>
        <w:rPr>
          <w:rFonts w:ascii="Georgia" w:hAnsi="Georgia"/>
          <w:b/>
          <w:color w:val="0056B4"/>
          <w:sz w:val="26"/>
        </w:rPr>
        <w:t>7. Designación del auditor interno</w:t>
      </w:r>
    </w:p>
    <w:p>
      <w:pPr>
        <w:spacing w:after="120"/>
      </w:pPr>
      <w:r>
        <w:rPr>
          <w:rFonts w:ascii="Calibri" w:hAnsi="Calibri"/>
          <w:color w:val="1C242E"/>
          <w:sz w:val="21"/>
        </w:rPr>
        <w:t>La Dirección General designa por escrito al auditor interno competente del SGC. Para el primer ciclo, la función de auditor interno recae en la Gerencia Administrativa, sujeta a la confirmación de su disponibilidad y a la acreditación del refresco en ISO 9001:2015 previsto en la sección 8. La designación se formaliza con los datos siguientes y con la firma de aceptación del auditor:</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4986"/>
        <w:gridCol w:w="4986"/>
      </w:tblGrid>
      <w:tr>
        <w:tc>
          <w:tcPr>
            <w:tcW w:type="dxa" w:w="4188"/>
            <w:shd w:val="clear" w:fill="0056B4"/>
          </w:tcPr>
          <w:p>
            <w:pPr>
              <w:jc w:val="center"/>
            </w:pPr>
            <w:r/>
            <w:r>
              <w:rPr>
                <w:rFonts w:ascii="Calibri" w:hAnsi="Calibri"/>
                <w:b/>
                <w:color w:val="FFFFFF"/>
                <w:sz w:val="17"/>
              </w:rPr>
              <w:t>Dato de la designación</w:t>
            </w:r>
          </w:p>
        </w:tc>
        <w:tc>
          <w:tcPr>
            <w:tcW w:type="dxa" w:w="5784"/>
            <w:shd w:val="clear" w:fill="0056B4"/>
          </w:tcPr>
          <w:p>
            <w:pPr>
              <w:jc w:val="center"/>
            </w:pPr>
            <w:r/>
            <w:r>
              <w:rPr>
                <w:rFonts w:ascii="Calibri" w:hAnsi="Calibri"/>
                <w:b/>
                <w:color w:val="FFFFFF"/>
                <w:sz w:val="17"/>
              </w:rPr>
              <w:t>Registro</w:t>
            </w:r>
          </w:p>
        </w:tc>
      </w:tr>
      <w:tr>
        <w:tc>
          <w:tcPr>
            <w:tcW w:type="dxa" w:w="4188"/>
          </w:tcPr>
          <w:p>
            <w:r/>
            <w:r>
              <w:rPr>
                <w:rFonts w:ascii="Calibri" w:hAnsi="Calibri"/>
                <w:b w:val="0"/>
                <w:sz w:val="19"/>
              </w:rPr>
              <w:t>Auditor interno designado (nombre)</w:t>
            </w:r>
          </w:p>
        </w:tc>
        <w:tc>
          <w:tcPr>
            <w:tcW w:type="dxa" w:w="5784"/>
          </w:tcPr>
          <w:p>
            <w:r/>
            <w:r>
              <w:rPr>
                <w:rFonts w:ascii="Calibri" w:hAnsi="Calibri"/>
                <w:b w:val="0"/>
                <w:sz w:val="19"/>
              </w:rPr>
            </w:r>
          </w:p>
        </w:tc>
      </w:tr>
      <w:tr>
        <w:tc>
          <w:tcPr>
            <w:tcW w:type="dxa" w:w="4188"/>
          </w:tcPr>
          <w:p>
            <w:r/>
            <w:r>
              <w:rPr>
                <w:rFonts w:ascii="Calibri" w:hAnsi="Calibri"/>
                <w:b w:val="0"/>
                <w:sz w:val="19"/>
              </w:rPr>
              <w:t>Rol</w:t>
            </w:r>
          </w:p>
        </w:tc>
        <w:tc>
          <w:tcPr>
            <w:tcW w:type="dxa" w:w="5784"/>
          </w:tcPr>
          <w:p>
            <w:r/>
            <w:r>
              <w:rPr>
                <w:rFonts w:ascii="Calibri" w:hAnsi="Calibri"/>
                <w:b w:val="0"/>
                <w:sz w:val="19"/>
              </w:rPr>
              <w:t>Gerencia Administrativa</w:t>
            </w:r>
          </w:p>
        </w:tc>
      </w:tr>
      <w:tr>
        <w:tc>
          <w:tcPr>
            <w:tcW w:type="dxa" w:w="4188"/>
          </w:tcPr>
          <w:p>
            <w:r/>
            <w:r>
              <w:rPr>
                <w:rFonts w:ascii="Calibri" w:hAnsi="Calibri"/>
                <w:b w:val="0"/>
                <w:sz w:val="19"/>
              </w:rPr>
              <w:t>Ámbito que puede auditar</w:t>
            </w:r>
          </w:p>
        </w:tc>
        <w:tc>
          <w:tcPr>
            <w:tcW w:type="dxa" w:w="5784"/>
          </w:tcPr>
          <w:p>
            <w:r/>
            <w:r>
              <w:rPr>
                <w:rFonts w:ascii="Calibri" w:hAnsi="Calibri"/>
                <w:b w:val="0"/>
                <w:sz w:val="19"/>
              </w:rPr>
              <w:t>Todos los procesos del SGC, salvo las áreas a cargo de la Gerencia Administrativa</w:t>
            </w:r>
          </w:p>
        </w:tc>
      </w:tr>
      <w:tr>
        <w:tc>
          <w:tcPr>
            <w:tcW w:type="dxa" w:w="4188"/>
          </w:tcPr>
          <w:p>
            <w:r/>
            <w:r>
              <w:rPr>
                <w:rFonts w:ascii="Calibri" w:hAnsi="Calibri"/>
                <w:b w:val="0"/>
                <w:sz w:val="19"/>
              </w:rPr>
              <w:t>Auditor alterno independiente (nombre)</w:t>
            </w:r>
          </w:p>
        </w:tc>
        <w:tc>
          <w:tcPr>
            <w:tcW w:type="dxa" w:w="5784"/>
          </w:tcPr>
          <w:p>
            <w:r/>
            <w:r>
              <w:rPr>
                <w:rFonts w:ascii="Calibri" w:hAnsi="Calibri"/>
                <w:b w:val="0"/>
                <w:sz w:val="19"/>
              </w:rPr>
            </w:r>
          </w:p>
        </w:tc>
      </w:tr>
      <w:tr>
        <w:tc>
          <w:tcPr>
            <w:tcW w:type="dxa" w:w="4188"/>
          </w:tcPr>
          <w:p>
            <w:r/>
            <w:r>
              <w:rPr>
                <w:rFonts w:ascii="Calibri" w:hAnsi="Calibri"/>
                <w:b w:val="0"/>
                <w:sz w:val="19"/>
              </w:rPr>
              <w:t>Ámbito del auditor alterno</w:t>
            </w:r>
          </w:p>
        </w:tc>
        <w:tc>
          <w:tcPr>
            <w:tcW w:type="dxa" w:w="5784"/>
          </w:tcPr>
          <w:p>
            <w:r/>
            <w:r>
              <w:rPr>
                <w:rFonts w:ascii="Calibri" w:hAnsi="Calibri"/>
                <w:b w:val="0"/>
                <w:sz w:val="19"/>
              </w:rPr>
              <w:t>Áreas a cargo de la Gerencia Administrativa: Dirección y Comité, Apoyo y administración, y Gestión del SGC</w:t>
            </w:r>
          </w:p>
        </w:tc>
      </w:tr>
      <w:tr>
        <w:tc>
          <w:tcPr>
            <w:tcW w:type="dxa" w:w="4188"/>
          </w:tcPr>
          <w:p>
            <w:r/>
            <w:r>
              <w:rPr>
                <w:rFonts w:ascii="Calibri" w:hAnsi="Calibri"/>
                <w:b w:val="0"/>
                <w:sz w:val="19"/>
              </w:rPr>
              <w:t>Fecha de designación</w:t>
            </w:r>
          </w:p>
        </w:tc>
        <w:tc>
          <w:tcPr>
            <w:tcW w:type="dxa" w:w="5784"/>
          </w:tcPr>
          <w:p>
            <w:r/>
            <w:r>
              <w:rPr>
                <w:rFonts w:ascii="Calibri" w:hAnsi="Calibri"/>
                <w:b w:val="0"/>
                <w:sz w:val="19"/>
              </w:rPr>
            </w:r>
          </w:p>
        </w:tc>
      </w:tr>
      <w:tr>
        <w:tc>
          <w:tcPr>
            <w:tcW w:type="dxa" w:w="4188"/>
          </w:tcPr>
          <w:p>
            <w:r/>
            <w:r>
              <w:rPr>
                <w:rFonts w:ascii="Calibri" w:hAnsi="Calibri"/>
                <w:b w:val="0"/>
                <w:sz w:val="19"/>
              </w:rPr>
              <w:t>Fecha de aceptación</w:t>
            </w:r>
          </w:p>
        </w:tc>
        <w:tc>
          <w:tcPr>
            <w:tcW w:type="dxa" w:w="5784"/>
          </w:tcPr>
          <w:p>
            <w:r/>
            <w:r>
              <w:rPr>
                <w:rFonts w:ascii="Calibri" w:hAnsi="Calibri"/>
                <w:b w:val="0"/>
                <w:sz w:val="19"/>
              </w:rPr>
            </w:r>
          </w:p>
        </w:tc>
      </w:tr>
      <w:tr>
        <w:tc>
          <w:tcPr>
            <w:tcW w:type="dxa" w:w="4188"/>
          </w:tcPr>
          <w:p>
            <w:r/>
            <w:r>
              <w:rPr>
                <w:rFonts w:ascii="Calibri" w:hAnsi="Calibri"/>
                <w:b w:val="0"/>
                <w:sz w:val="19"/>
              </w:rPr>
              <w:t>Vigencia</w:t>
            </w:r>
          </w:p>
        </w:tc>
        <w:tc>
          <w:tcPr>
            <w:tcW w:type="dxa" w:w="5784"/>
          </w:tcPr>
          <w:p>
            <w:r/>
            <w:r>
              <w:rPr>
                <w:rFonts w:ascii="Calibri" w:hAnsi="Calibri"/>
                <w:b w:val="0"/>
                <w:sz w:val="19"/>
              </w:rPr>
              <w:t>Hasta que la Dirección General la revoque o la actualice</w:t>
            </w:r>
          </w:p>
        </w:tc>
      </w:tr>
    </w:tbl>
    <w:tbl>
      <w:tblPr>
        <w:tblW w:type="auto" w:w="0"/>
        <w:tblLook w:firstColumn="1" w:firstRow="1" w:lastColumn="0" w:lastRow="0" w:noHBand="0" w:noVBand="1" w:val="04A0"/>
        <w:tblBorders>
          <w:left w:val="single" w:sz="18" w:color="F0E528"/>
        </w:tblBorders>
      </w:tblPr>
      <w:tblGrid>
        <w:gridCol w:w="9972"/>
      </w:tblGrid>
      <w:tr>
        <w:tc>
          <w:tcPr>
            <w:tcW w:type="dxa" w:w="9972"/>
            <w:shd w:val="clear" w:fill="FFF9DB"/>
          </w:tcPr>
          <w:p>
            <w:r>
              <w:rPr>
                <w:b/>
                <w:color w:val="003D80"/>
                <w:sz w:val="19"/>
              </w:rPr>
              <w:t xml:space="preserve">Pendiente: </w:t>
            </w:r>
            <w:r>
              <w:rPr>
                <w:color w:val="003D80"/>
                <w:sz w:val="19"/>
              </w:rPr>
              <w:t>[Por validar con SolarPro: nombre del titular de la Gerencia Administrativa que asume la función de auditor interno; nombre del auditor alterno o externo que auditará las áreas a cargo de la Gerencia Administrativa para preservar la independencia; y fecha de la designación y aceptación formal.]</w:t>
            </w:r>
          </w:p>
        </w:tc>
      </w:tr>
    </w:tbl>
    <w:p>
      <w:pPr>
        <w:spacing w:after="40"/>
      </w:pPr>
    </w:p>
    <w:p>
      <w:pPr>
        <w:keepNext/>
        <w:spacing w:before="280" w:after="80"/>
        <w:pBdr>
          <w:bottom w:val="single" w:sz="8" w:color="F0E528"/>
        </w:pBdr>
      </w:pPr>
      <w:r>
        <w:rPr>
          <w:rFonts w:ascii="Georgia" w:hAnsi="Georgia"/>
          <w:b/>
          <w:color w:val="0056B4"/>
          <w:sz w:val="26"/>
        </w:rPr>
        <w:t>8. Refresco de competencia en ISO 9001:2015</w:t>
      </w:r>
    </w:p>
    <w:p>
      <w:pPr>
        <w:spacing w:after="120"/>
      </w:pPr>
      <w:r>
        <w:rPr>
          <w:rFonts w:ascii="Calibri" w:hAnsi="Calibri"/>
          <w:color w:val="1C242E"/>
          <w:sz w:val="21"/>
        </w:rPr>
        <w:t>Antes de ejecutar el primer ciclo de auditoría, el auditor interno completa un refresco de la norma ISO 9001:2015 que asegure la competencia exigida por las cláusulas 7.2 y 9.2. El temario mínimo es:</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3324"/>
        <w:gridCol w:w="3324"/>
        <w:gridCol w:w="3324"/>
      </w:tblGrid>
      <w:tr>
        <w:tc>
          <w:tcPr>
            <w:tcW w:type="dxa" w:w="2593"/>
            <w:shd w:val="clear" w:fill="0056B4"/>
          </w:tcPr>
          <w:p>
            <w:pPr>
              <w:jc w:val="center"/>
            </w:pPr>
            <w:r/>
            <w:r>
              <w:rPr>
                <w:rFonts w:ascii="Calibri" w:hAnsi="Calibri"/>
                <w:b/>
                <w:color w:val="FFFFFF"/>
                <w:sz w:val="17"/>
              </w:rPr>
              <w:t>Módulo</w:t>
            </w:r>
          </w:p>
        </w:tc>
        <w:tc>
          <w:tcPr>
            <w:tcW w:type="dxa" w:w="5784"/>
            <w:shd w:val="clear" w:fill="0056B4"/>
          </w:tcPr>
          <w:p>
            <w:pPr>
              <w:jc w:val="center"/>
            </w:pPr>
            <w:r/>
            <w:r>
              <w:rPr>
                <w:rFonts w:ascii="Calibri" w:hAnsi="Calibri"/>
                <w:b/>
                <w:color w:val="FFFFFF"/>
                <w:sz w:val="17"/>
              </w:rPr>
              <w:t>Contenido</w:t>
            </w:r>
          </w:p>
        </w:tc>
        <w:tc>
          <w:tcPr>
            <w:tcW w:type="dxa" w:w="1596"/>
            <w:shd w:val="clear" w:fill="0056B4"/>
          </w:tcPr>
          <w:p>
            <w:pPr>
              <w:jc w:val="center"/>
            </w:pPr>
            <w:r/>
            <w:r>
              <w:rPr>
                <w:rFonts w:ascii="Calibri" w:hAnsi="Calibri"/>
                <w:b/>
                <w:color w:val="FFFFFF"/>
                <w:sz w:val="17"/>
              </w:rPr>
              <w:t>Duración aprox.</w:t>
            </w:r>
          </w:p>
        </w:tc>
      </w:tr>
      <w:tr>
        <w:tc>
          <w:tcPr>
            <w:tcW w:type="dxa" w:w="2593"/>
          </w:tcPr>
          <w:p>
            <w:r/>
            <w:r>
              <w:rPr>
                <w:rFonts w:ascii="Calibri" w:hAnsi="Calibri"/>
                <w:b w:val="0"/>
                <w:sz w:val="19"/>
              </w:rPr>
              <w:t>Estructura de la norma</w:t>
            </w:r>
          </w:p>
        </w:tc>
        <w:tc>
          <w:tcPr>
            <w:tcW w:type="dxa" w:w="5784"/>
          </w:tcPr>
          <w:p>
            <w:r/>
            <w:r>
              <w:rPr>
                <w:rFonts w:ascii="Calibri" w:hAnsi="Calibri"/>
                <w:b w:val="0"/>
                <w:sz w:val="19"/>
              </w:rPr>
              <w:t>Cláusulas 4 a 10, ciclo PHVA y enfoque a procesos.</w:t>
            </w:r>
          </w:p>
        </w:tc>
        <w:tc>
          <w:tcPr>
            <w:tcW w:type="dxa" w:w="1596"/>
          </w:tcPr>
          <w:p>
            <w:r/>
            <w:r>
              <w:rPr>
                <w:rFonts w:ascii="Calibri" w:hAnsi="Calibri"/>
                <w:b w:val="0"/>
                <w:sz w:val="19"/>
              </w:rPr>
              <w:t>1 h</w:t>
            </w:r>
          </w:p>
        </w:tc>
      </w:tr>
      <w:tr>
        <w:tc>
          <w:tcPr>
            <w:tcW w:type="dxa" w:w="2593"/>
          </w:tcPr>
          <w:p>
            <w:r/>
            <w:r>
              <w:rPr>
                <w:rFonts w:ascii="Calibri" w:hAnsi="Calibri"/>
                <w:b w:val="0"/>
                <w:sz w:val="19"/>
              </w:rPr>
              <w:t>Pensamiento basado en riesgos</w:t>
            </w:r>
          </w:p>
        </w:tc>
        <w:tc>
          <w:tcPr>
            <w:tcW w:type="dxa" w:w="5784"/>
          </w:tcPr>
          <w:p>
            <w:r/>
            <w:r>
              <w:rPr>
                <w:rFonts w:ascii="Calibri" w:hAnsi="Calibri"/>
                <w:b w:val="0"/>
                <w:sz w:val="19"/>
              </w:rPr>
              <w:t>Cómo auditar el enfoque a riesgos y oportunidades del SGC.</w:t>
            </w:r>
          </w:p>
        </w:tc>
        <w:tc>
          <w:tcPr>
            <w:tcW w:type="dxa" w:w="1596"/>
          </w:tcPr>
          <w:p>
            <w:r/>
            <w:r>
              <w:rPr>
                <w:rFonts w:ascii="Calibri" w:hAnsi="Calibri"/>
                <w:b w:val="0"/>
                <w:sz w:val="19"/>
              </w:rPr>
              <w:t>0.5 h</w:t>
            </w:r>
          </w:p>
        </w:tc>
      </w:tr>
      <w:tr>
        <w:tc>
          <w:tcPr>
            <w:tcW w:type="dxa" w:w="2593"/>
          </w:tcPr>
          <w:p>
            <w:r/>
            <w:r>
              <w:rPr>
                <w:rFonts w:ascii="Calibri" w:hAnsi="Calibri"/>
                <w:b w:val="0"/>
                <w:sz w:val="19"/>
              </w:rPr>
              <w:t>Requisitos auditables en SolarPro</w:t>
            </w:r>
          </w:p>
        </w:tc>
        <w:tc>
          <w:tcPr>
            <w:tcW w:type="dxa" w:w="5784"/>
          </w:tcPr>
          <w:p>
            <w:r/>
            <w:r>
              <w:rPr>
                <w:rFonts w:ascii="Calibri" w:hAnsi="Calibri"/>
                <w:b w:val="0"/>
                <w:sz w:val="19"/>
              </w:rPr>
              <w:t>Correspondencia entre cláusula, proceso y documento del hub.</w:t>
            </w:r>
          </w:p>
        </w:tc>
        <w:tc>
          <w:tcPr>
            <w:tcW w:type="dxa" w:w="1596"/>
          </w:tcPr>
          <w:p>
            <w:r/>
            <w:r>
              <w:rPr>
                <w:rFonts w:ascii="Calibri" w:hAnsi="Calibri"/>
                <w:b w:val="0"/>
                <w:sz w:val="19"/>
              </w:rPr>
              <w:t>1 h</w:t>
            </w:r>
          </w:p>
        </w:tc>
      </w:tr>
      <w:tr>
        <w:tc>
          <w:tcPr>
            <w:tcW w:type="dxa" w:w="2593"/>
          </w:tcPr>
          <w:p>
            <w:r/>
            <w:r>
              <w:rPr>
                <w:rFonts w:ascii="Calibri" w:hAnsi="Calibri"/>
                <w:b w:val="0"/>
                <w:sz w:val="19"/>
              </w:rPr>
              <w:t>Técnicas de auditoría</w:t>
            </w:r>
          </w:p>
        </w:tc>
        <w:tc>
          <w:tcPr>
            <w:tcW w:type="dxa" w:w="5784"/>
          </w:tcPr>
          <w:p>
            <w:r/>
            <w:r>
              <w:rPr>
                <w:rFonts w:ascii="Calibri" w:hAnsi="Calibri"/>
                <w:b w:val="0"/>
                <w:sz w:val="19"/>
              </w:rPr>
              <w:t>Entrevista, muestreo, revisión de evidencia y redacción de hallazgos.</w:t>
            </w:r>
          </w:p>
        </w:tc>
        <w:tc>
          <w:tcPr>
            <w:tcW w:type="dxa" w:w="1596"/>
          </w:tcPr>
          <w:p>
            <w:r/>
            <w:r>
              <w:rPr>
                <w:rFonts w:ascii="Calibri" w:hAnsi="Calibri"/>
                <w:b w:val="0"/>
                <w:sz w:val="19"/>
              </w:rPr>
              <w:t>1 h</w:t>
            </w:r>
          </w:p>
        </w:tc>
      </w:tr>
      <w:tr>
        <w:tc>
          <w:tcPr>
            <w:tcW w:type="dxa" w:w="2593"/>
          </w:tcPr>
          <w:p>
            <w:r/>
            <w:r>
              <w:rPr>
                <w:rFonts w:ascii="Calibri" w:hAnsi="Calibri"/>
                <w:b w:val="0"/>
                <w:sz w:val="19"/>
              </w:rPr>
              <w:t>Clasificación de hallazgos</w:t>
            </w:r>
          </w:p>
        </w:tc>
        <w:tc>
          <w:tcPr>
            <w:tcW w:type="dxa" w:w="5784"/>
          </w:tcPr>
          <w:p>
            <w:r/>
            <w:r>
              <w:rPr>
                <w:rFonts w:ascii="Calibri" w:hAnsi="Calibri"/>
                <w:b w:val="0"/>
                <w:sz w:val="19"/>
              </w:rPr>
              <w:t>No conformidad mayor y menor, observación y oportunidad de mejora.</w:t>
            </w:r>
          </w:p>
        </w:tc>
        <w:tc>
          <w:tcPr>
            <w:tcW w:type="dxa" w:w="1596"/>
          </w:tcPr>
          <w:p>
            <w:r/>
            <w:r>
              <w:rPr>
                <w:rFonts w:ascii="Calibri" w:hAnsi="Calibri"/>
                <w:b w:val="0"/>
                <w:sz w:val="19"/>
              </w:rPr>
              <w:t>0.5 h</w:t>
            </w:r>
          </w:p>
        </w:tc>
      </w:tr>
    </w:tbl>
    <w:p>
      <w:pPr>
        <w:spacing w:after="120"/>
      </w:pPr>
      <w:r>
        <w:rPr>
          <w:rFonts w:ascii="Calibri" w:hAnsi="Calibri"/>
          <w:color w:val="1C242E"/>
          <w:sz w:val="21"/>
        </w:rPr>
        <w:t>La constancia o el registro del refresco se conserva en el hub como evidencia de la competencia del auditor, conforme a la sección 7.2 del Manual de Calidad MC-SP-01.</w:t>
      </w:r>
    </w:p>
    <w:tbl>
      <w:tblPr>
        <w:tblW w:type="auto" w:w="0"/>
        <w:tblLook w:firstColumn="1" w:firstRow="1" w:lastColumn="0" w:lastRow="0" w:noHBand="0" w:noVBand="1" w:val="04A0"/>
        <w:tblBorders>
          <w:left w:val="single" w:sz="18" w:color="F0E528"/>
        </w:tblBorders>
      </w:tblPr>
      <w:tblGrid>
        <w:gridCol w:w="9972"/>
      </w:tblGrid>
      <w:tr>
        <w:tc>
          <w:tcPr>
            <w:tcW w:type="dxa" w:w="9972"/>
            <w:shd w:val="clear" w:fill="FFF9DB"/>
          </w:tcPr>
          <w:p>
            <w:r>
              <w:rPr>
                <w:b/>
                <w:color w:val="003D80"/>
                <w:sz w:val="19"/>
              </w:rPr>
              <w:t xml:space="preserve">Pendiente: </w:t>
            </w:r>
            <w:r>
              <w:rPr>
                <w:color w:val="003D80"/>
                <w:sz w:val="19"/>
              </w:rPr>
              <w:t>[Por validar con SolarPro: modalidad del refresco, ya sea interno con apoyo de DETA Consultores o curso externo; fecha de realización; y responsable de impartirlo.]</w:t>
            </w:r>
          </w:p>
        </w:tc>
      </w:tr>
    </w:tbl>
    <w:p>
      <w:pPr>
        <w:spacing w:after="40"/>
      </w:pPr>
    </w:p>
    <w:p>
      <w:pPr>
        <w:keepNext/>
        <w:spacing w:before="280" w:after="80"/>
        <w:pBdr>
          <w:bottom w:val="single" w:sz="8" w:color="F0E528"/>
        </w:pBdr>
      </w:pPr>
      <w:r>
        <w:rPr>
          <w:rFonts w:ascii="Georgia" w:hAnsi="Georgia"/>
          <w:b/>
          <w:color w:val="0056B4"/>
          <w:sz w:val="26"/>
        </w:rPr>
        <w:t>9. Ejecución de la auditoría</w:t>
      </w:r>
    </w:p>
    <w:p>
      <w:pPr>
        <w:spacing w:after="120"/>
      </w:pPr>
      <w:r>
        <w:rPr>
          <w:rFonts w:ascii="Calibri" w:hAnsi="Calibri"/>
          <w:color w:val="1C242E"/>
          <w:sz w:val="21"/>
        </w:rPr>
        <w:t>Cada auditoría del programa se ejecuta en las etapas siguientes:</w:t>
      </w:r>
    </w:p>
    <w:p>
      <w:pPr>
        <w:pStyle w:val="ListNumber"/>
      </w:pPr>
      <w:r>
        <w:rPr>
          <w:b/>
          <w:sz w:val="20"/>
        </w:rPr>
        <w:t xml:space="preserve">Plan de la auditoría. </w:t>
      </w:r>
      <w:r>
        <w:rPr>
          <w:rFonts w:ascii="Calibri" w:hAnsi="Calibri"/>
          <w:sz w:val="20"/>
        </w:rPr>
        <w:t>La Gerencia Administrativa prepara el plan de cada auditoría con el alcance, los criterios, los procesos a revisar, la fecha, el auditor asignado y las áreas auditadas.</w:t>
      </w:r>
    </w:p>
    <w:p>
      <w:pPr>
        <w:pStyle w:val="ListNumber"/>
      </w:pPr>
      <w:r>
        <w:rPr>
          <w:b/>
          <w:sz w:val="20"/>
        </w:rPr>
        <w:t xml:space="preserve">Reunión de apertura. </w:t>
      </w:r>
      <w:r>
        <w:rPr>
          <w:rFonts w:ascii="Calibri" w:hAnsi="Calibri"/>
          <w:sz w:val="20"/>
        </w:rPr>
        <w:t>El auditor confirma con los auditados el alcance, los criterios y la agenda de la auditoría.</w:t>
      </w:r>
    </w:p>
    <w:p>
      <w:pPr>
        <w:pStyle w:val="ListNumber"/>
      </w:pPr>
      <w:r>
        <w:rPr>
          <w:b/>
          <w:sz w:val="20"/>
        </w:rPr>
        <w:t xml:space="preserve">Recolección de evidencia. </w:t>
      </w:r>
      <w:r>
        <w:rPr>
          <w:rFonts w:ascii="Calibri" w:hAnsi="Calibri"/>
          <w:sz w:val="20"/>
        </w:rPr>
        <w:t>El auditor obtiene evidencia mediante entrevistas, revisión de documentos y registros del hub y observación en sitio, con un muestreo representativo.</w:t>
      </w:r>
    </w:p>
    <w:p>
      <w:pPr>
        <w:pStyle w:val="ListNumber"/>
      </w:pPr>
      <w:r>
        <w:rPr>
          <w:b/>
          <w:sz w:val="20"/>
        </w:rPr>
        <w:t xml:space="preserve">Registro de hallazgos. </w:t>
      </w:r>
      <w:r>
        <w:rPr>
          <w:rFonts w:ascii="Calibri" w:hAnsi="Calibri"/>
          <w:sz w:val="20"/>
        </w:rPr>
        <w:t>El auditor documenta cada hallazgo con evidencia objetiva y con referencia a la cláusula o al criterio correspondiente.</w:t>
      </w:r>
    </w:p>
    <w:p>
      <w:pPr>
        <w:pStyle w:val="ListNumber"/>
      </w:pPr>
      <w:r>
        <w:rPr>
          <w:b/>
          <w:sz w:val="20"/>
        </w:rPr>
        <w:t xml:space="preserve">Reunión de cierre. </w:t>
      </w:r>
      <w:r>
        <w:rPr>
          <w:rFonts w:ascii="Calibri" w:hAnsi="Calibri"/>
          <w:sz w:val="20"/>
        </w:rPr>
        <w:t>El auditor presenta los hallazgos a los auditados y a los responsables del proceso, y acuerda el entendimiento de cada uno.</w:t>
      </w:r>
    </w:p>
    <w:tbl>
      <w:tblPr>
        <w:tblW w:type="auto" w:w="0"/>
        <w:tblLook w:firstColumn="1" w:firstRow="1" w:lastColumn="0" w:lastRow="0" w:noHBand="0" w:noVBand="1" w:val="04A0"/>
        <w:tblBorders>
          <w:left w:val="single" w:sz="16" w:color="F0E528"/>
        </w:tblBorders>
      </w:tblPr>
      <w:tblGrid>
        <w:gridCol w:w="9972"/>
      </w:tblGrid>
      <w:tr>
        <w:tc>
          <w:tcPr>
            <w:tcW w:type="dxa" w:w="9972"/>
            <w:shd w:val="clear" w:fill="FFF9DB"/>
          </w:tcPr>
          <w:p>
            <w:r/>
            <w:r>
              <w:rPr>
                <w:rFonts w:ascii="Calibri" w:hAnsi="Calibri"/>
                <w:b w:val="0"/>
                <w:color w:val="003D80"/>
                <w:sz w:val="17"/>
              </w:rPr>
              <w:t>El plan y la lista de verificación de la auditoría, así como el informe, se registran en los formatos del SGC y se conservan en el hub.</w:t>
            </w:r>
          </w:p>
        </w:tc>
      </w:tr>
    </w:tbl>
    <w:p>
      <w:pPr>
        <w:spacing w:after="40"/>
      </w:pPr>
    </w:p>
    <w:p>
      <w:pPr>
        <w:keepNext/>
        <w:spacing w:before="280" w:after="80"/>
        <w:pBdr>
          <w:bottom w:val="single" w:sz="8" w:color="F0E528"/>
        </w:pBdr>
      </w:pPr>
      <w:r>
        <w:rPr>
          <w:rFonts w:ascii="Georgia" w:hAnsi="Georgia"/>
          <w:b/>
          <w:color w:val="0056B4"/>
          <w:sz w:val="26"/>
        </w:rPr>
        <w:t>10. Informe de auditoría</w:t>
      </w:r>
    </w:p>
    <w:p>
      <w:pPr>
        <w:spacing w:after="120"/>
      </w:pPr>
      <w:r>
        <w:rPr>
          <w:rFonts w:ascii="Calibri" w:hAnsi="Calibri"/>
          <w:color w:val="1C242E"/>
          <w:sz w:val="21"/>
        </w:rPr>
        <w:t>Al terminar cada auditoría, el auditor elabora un informe que contiene, como mínimo:</w:t>
      </w:r>
    </w:p>
    <w:p>
      <w:pPr>
        <w:pStyle w:val="ListBullet"/>
      </w:pPr>
      <w:r>
        <w:rPr>
          <w:rFonts w:ascii="Calibri" w:hAnsi="Calibri"/>
          <w:sz w:val="20"/>
        </w:rPr>
        <w:t>Identificación de la auditoría: fecha, alcance, criterios, auditor y áreas auditadas.</w:t>
      </w:r>
    </w:p>
    <w:p>
      <w:pPr>
        <w:pStyle w:val="ListBullet"/>
      </w:pPr>
      <w:r>
        <w:rPr>
          <w:rFonts w:ascii="Calibri" w:hAnsi="Calibri"/>
          <w:sz w:val="20"/>
        </w:rPr>
        <w:t>Resumen de la auditoría y de los procesos revisados.</w:t>
      </w:r>
    </w:p>
    <w:p>
      <w:pPr>
        <w:pStyle w:val="ListBullet"/>
      </w:pPr>
      <w:r>
        <w:rPr>
          <w:rFonts w:ascii="Calibri" w:hAnsi="Calibri"/>
          <w:sz w:val="20"/>
        </w:rPr>
        <w:t>Hallazgos clasificados, con la evidencia y la cláusula o criterio de referencia.</w:t>
      </w:r>
    </w:p>
    <w:p>
      <w:pPr>
        <w:pStyle w:val="ListBullet"/>
      </w:pPr>
      <w:r>
        <w:rPr>
          <w:rFonts w:ascii="Calibri" w:hAnsi="Calibri"/>
          <w:sz w:val="20"/>
        </w:rPr>
        <w:t>Conformidades y fortalezas destacables.</w:t>
      </w:r>
    </w:p>
    <w:p>
      <w:pPr>
        <w:pStyle w:val="ListBullet"/>
      </w:pPr>
      <w:r>
        <w:rPr>
          <w:rFonts w:ascii="Calibri" w:hAnsi="Calibri"/>
          <w:sz w:val="20"/>
        </w:rPr>
        <w:t>Conclusión sobre la eficacia del SGC en el alcance auditado.</w:t>
      </w:r>
    </w:p>
    <w:p>
      <w:pPr>
        <w:pStyle w:val="ListBullet"/>
      </w:pPr>
      <w:r>
        <w:rPr>
          <w:rFonts w:ascii="Calibri" w:hAnsi="Calibri"/>
          <w:sz w:val="20"/>
        </w:rPr>
        <w:t>Fecha de entrega del informe.</w:t>
      </w:r>
    </w:p>
    <w:p>
      <w:pPr>
        <w:spacing w:after="120"/>
      </w:pPr>
      <w:r>
        <w:rPr>
          <w:rFonts w:ascii="Calibri" w:hAnsi="Calibri"/>
          <w:color w:val="1C242E"/>
          <w:sz w:val="21"/>
        </w:rPr>
        <w:t>Los hallazgos se clasifican de la siguiente manera:</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3324"/>
        <w:gridCol w:w="3324"/>
        <w:gridCol w:w="3324"/>
      </w:tblGrid>
      <w:tr>
        <w:tc>
          <w:tcPr>
            <w:tcW w:type="dxa" w:w="2194"/>
            <w:shd w:val="clear" w:fill="0056B4"/>
          </w:tcPr>
          <w:p>
            <w:pPr>
              <w:jc w:val="center"/>
            </w:pPr>
            <w:r/>
            <w:r>
              <w:rPr>
                <w:rFonts w:ascii="Calibri" w:hAnsi="Calibri"/>
                <w:b/>
                <w:color w:val="FFFFFF"/>
                <w:sz w:val="17"/>
              </w:rPr>
              <w:t>Tipo de hallazgo</w:t>
            </w:r>
          </w:p>
        </w:tc>
        <w:tc>
          <w:tcPr>
            <w:tcW w:type="dxa" w:w="4188"/>
            <w:shd w:val="clear" w:fill="0056B4"/>
          </w:tcPr>
          <w:p>
            <w:pPr>
              <w:jc w:val="center"/>
            </w:pPr>
            <w:r/>
            <w:r>
              <w:rPr>
                <w:rFonts w:ascii="Calibri" w:hAnsi="Calibri"/>
                <w:b/>
                <w:color w:val="FFFFFF"/>
                <w:sz w:val="17"/>
              </w:rPr>
              <w:t>Definición</w:t>
            </w:r>
          </w:p>
        </w:tc>
        <w:tc>
          <w:tcPr>
            <w:tcW w:type="dxa" w:w="3590"/>
            <w:shd w:val="clear" w:fill="0056B4"/>
          </w:tcPr>
          <w:p>
            <w:pPr>
              <w:jc w:val="center"/>
            </w:pPr>
            <w:r/>
            <w:r>
              <w:rPr>
                <w:rFonts w:ascii="Calibri" w:hAnsi="Calibri"/>
                <w:b/>
                <w:color w:val="FFFFFF"/>
                <w:sz w:val="17"/>
              </w:rPr>
              <w:t>Tratamiento</w:t>
            </w:r>
          </w:p>
        </w:tc>
      </w:tr>
      <w:tr>
        <w:tc>
          <w:tcPr>
            <w:tcW w:type="dxa" w:w="2194"/>
          </w:tcPr>
          <w:p>
            <w:r/>
            <w:r>
              <w:rPr>
                <w:rFonts w:ascii="Calibri" w:hAnsi="Calibri"/>
                <w:b w:val="0"/>
                <w:sz w:val="19"/>
              </w:rPr>
              <w:t>No conformidad mayor</w:t>
            </w:r>
          </w:p>
        </w:tc>
        <w:tc>
          <w:tcPr>
            <w:tcW w:type="dxa" w:w="4188"/>
          </w:tcPr>
          <w:p>
            <w:r/>
            <w:r>
              <w:rPr>
                <w:rFonts w:ascii="Calibri" w:hAnsi="Calibri"/>
                <w:b w:val="0"/>
                <w:sz w:val="19"/>
              </w:rPr>
              <w:t>Incumplimiento que afecta la capacidad del SGC de lograr los resultados previstos.</w:t>
            </w:r>
          </w:p>
        </w:tc>
        <w:tc>
          <w:tcPr>
            <w:tcW w:type="dxa" w:w="3590"/>
          </w:tcPr>
          <w:p>
            <w:r/>
            <w:r>
              <w:rPr>
                <w:rFonts w:ascii="Calibri" w:hAnsi="Calibri"/>
                <w:b w:val="0"/>
                <w:sz w:val="19"/>
              </w:rPr>
              <w:t>Acción correctiva con análisis de causa raíz, conforme a la cláusula 10.2.</w:t>
            </w:r>
          </w:p>
        </w:tc>
      </w:tr>
      <w:tr>
        <w:tc>
          <w:tcPr>
            <w:tcW w:type="dxa" w:w="2194"/>
          </w:tcPr>
          <w:p>
            <w:r/>
            <w:r>
              <w:rPr>
                <w:rFonts w:ascii="Calibri" w:hAnsi="Calibri"/>
                <w:b w:val="0"/>
                <w:sz w:val="19"/>
              </w:rPr>
              <w:t>No conformidad menor</w:t>
            </w:r>
          </w:p>
        </w:tc>
        <w:tc>
          <w:tcPr>
            <w:tcW w:type="dxa" w:w="4188"/>
          </w:tcPr>
          <w:p>
            <w:r/>
            <w:r>
              <w:rPr>
                <w:rFonts w:ascii="Calibri" w:hAnsi="Calibri"/>
                <w:b w:val="0"/>
                <w:sz w:val="19"/>
              </w:rPr>
              <w:t>Incumplimiento puntual que no compromete la integridad del sistema.</w:t>
            </w:r>
          </w:p>
        </w:tc>
        <w:tc>
          <w:tcPr>
            <w:tcW w:type="dxa" w:w="3590"/>
          </w:tcPr>
          <w:p>
            <w:r/>
            <w:r>
              <w:rPr>
                <w:rFonts w:ascii="Calibri" w:hAnsi="Calibri"/>
                <w:b w:val="0"/>
                <w:sz w:val="19"/>
              </w:rPr>
              <w:t>Acción correctiva con plazo definido.</w:t>
            </w:r>
          </w:p>
        </w:tc>
      </w:tr>
      <w:tr>
        <w:tc>
          <w:tcPr>
            <w:tcW w:type="dxa" w:w="2194"/>
          </w:tcPr>
          <w:p>
            <w:r/>
            <w:r>
              <w:rPr>
                <w:rFonts w:ascii="Calibri" w:hAnsi="Calibri"/>
                <w:b w:val="0"/>
                <w:sz w:val="19"/>
              </w:rPr>
              <w:t>Observación</w:t>
            </w:r>
          </w:p>
        </w:tc>
        <w:tc>
          <w:tcPr>
            <w:tcW w:type="dxa" w:w="4188"/>
          </w:tcPr>
          <w:p>
            <w:r/>
            <w:r>
              <w:rPr>
                <w:rFonts w:ascii="Calibri" w:hAnsi="Calibri"/>
                <w:b w:val="0"/>
                <w:sz w:val="19"/>
              </w:rPr>
              <w:t>Situación que puede derivar en no conformidad si no se atiende.</w:t>
            </w:r>
          </w:p>
        </w:tc>
        <w:tc>
          <w:tcPr>
            <w:tcW w:type="dxa" w:w="3590"/>
          </w:tcPr>
          <w:p>
            <w:r/>
            <w:r>
              <w:rPr>
                <w:rFonts w:ascii="Calibri" w:hAnsi="Calibri"/>
                <w:b w:val="0"/>
                <w:sz w:val="19"/>
              </w:rPr>
              <w:t>Recomendación de mejora y seguimiento.</w:t>
            </w:r>
          </w:p>
        </w:tc>
      </w:tr>
      <w:tr>
        <w:tc>
          <w:tcPr>
            <w:tcW w:type="dxa" w:w="2194"/>
          </w:tcPr>
          <w:p>
            <w:r/>
            <w:r>
              <w:rPr>
                <w:rFonts w:ascii="Calibri" w:hAnsi="Calibri"/>
                <w:b w:val="0"/>
                <w:sz w:val="19"/>
              </w:rPr>
              <w:t>Oportunidad de mejora</w:t>
            </w:r>
          </w:p>
        </w:tc>
        <w:tc>
          <w:tcPr>
            <w:tcW w:type="dxa" w:w="4188"/>
          </w:tcPr>
          <w:p>
            <w:r/>
            <w:r>
              <w:rPr>
                <w:rFonts w:ascii="Calibri" w:hAnsi="Calibri"/>
                <w:b w:val="0"/>
                <w:sz w:val="19"/>
              </w:rPr>
              <w:t>Potencial de mejora sin incumplimiento de un requisito.</w:t>
            </w:r>
          </w:p>
        </w:tc>
        <w:tc>
          <w:tcPr>
            <w:tcW w:type="dxa" w:w="3590"/>
          </w:tcPr>
          <w:p>
            <w:r/>
            <w:r>
              <w:rPr>
                <w:rFonts w:ascii="Calibri" w:hAnsi="Calibri"/>
                <w:b w:val="0"/>
                <w:sz w:val="19"/>
              </w:rPr>
              <w:t>Se canaliza a la mejora del SGC, conforme a la cláusula 10.</w:t>
            </w:r>
          </w:p>
        </w:tc>
      </w:tr>
    </w:tbl>
    <w:p>
      <w:pPr>
        <w:spacing w:after="120"/>
      </w:pPr>
      <w:r>
        <w:rPr>
          <w:rFonts w:ascii="Calibri" w:hAnsi="Calibri"/>
          <w:color w:val="1C242E"/>
          <w:sz w:val="21"/>
        </w:rPr>
        <w:t>El informe se entrega a la Dirección General y a los responsables de los procesos auditados, y es una entrada de la revisión por la dirección, conforme a la sección 9.3 del Manual de Calidad MC-SP-01.</w:t>
      </w:r>
    </w:p>
    <w:p>
      <w:pPr>
        <w:keepNext/>
        <w:spacing w:before="280" w:after="80"/>
        <w:pBdr>
          <w:bottom w:val="single" w:sz="8" w:color="F0E528"/>
        </w:pBdr>
      </w:pPr>
      <w:r>
        <w:rPr>
          <w:rFonts w:ascii="Georgia" w:hAnsi="Georgia"/>
          <w:b/>
          <w:color w:val="0056B4"/>
          <w:sz w:val="26"/>
        </w:rPr>
        <w:t>11. Seguimiento y acciones correctivas</w:t>
      </w:r>
    </w:p>
    <w:p>
      <w:pPr>
        <w:spacing w:after="120"/>
      </w:pPr>
      <w:r>
        <w:rPr>
          <w:rFonts w:ascii="Calibri" w:hAnsi="Calibri"/>
          <w:color w:val="1C242E"/>
          <w:sz w:val="21"/>
        </w:rPr>
        <w:t>Cada no conformidad genera una acción correctiva conforme a la cláusula 10.2 de la norma y a la sección 10.2 del Manual de Calidad MC-SP-01, con análisis de la causa raíz para evitar la recurrencia. Para atender los hallazgos sin demora injustificada, conforme al inciso e) de la cláusula 9.2.2, el responsable del proceso auditado aplica la corrección inmediata y define la acción correctiva dentro de los diez días hábiles siguientes a la recepción del informe, y acuerda con la Gerencia Administrativa la fecha compromiso de cierre. La Gerencia Administrativa le da seguimiento hasta el cierre y verifica su eficacia.</w:t>
      </w:r>
    </w:p>
    <w:p>
      <w:pPr>
        <w:spacing w:after="120"/>
      </w:pPr>
      <w:r>
        <w:rPr>
          <w:rFonts w:ascii="Calibri" w:hAnsi="Calibri"/>
          <w:color w:val="1C242E"/>
          <w:sz w:val="21"/>
        </w:rPr>
        <w:t>El estatus de los hallazgos y su cierre se revisan en la revisión por la dirección con cadencia trimestral y se consideran al preparar el programa del siguiente ciclo.</w:t>
      </w:r>
    </w:p>
    <w:tbl>
      <w:tblPr>
        <w:tblW w:type="auto" w:w="0"/>
        <w:tblLook w:firstColumn="1" w:firstRow="1" w:lastColumn="0" w:lastRow="0" w:noHBand="0" w:noVBand="1" w:val="04A0"/>
        <w:tblBorders>
          <w:left w:val="single" w:sz="16" w:color="F0E528"/>
        </w:tblBorders>
      </w:tblPr>
      <w:tblGrid>
        <w:gridCol w:w="9972"/>
      </w:tblGrid>
      <w:tr>
        <w:tc>
          <w:tcPr>
            <w:tcW w:type="dxa" w:w="9972"/>
            <w:shd w:val="clear" w:fill="FFF9DB"/>
          </w:tcPr>
          <w:p>
            <w:r/>
            <w:r>
              <w:rPr>
                <w:rFonts w:ascii="Calibri" w:hAnsi="Calibri"/>
                <w:b w:val="0"/>
                <w:color w:val="003D80"/>
                <w:sz w:val="17"/>
              </w:rPr>
              <w:t>Ningún hallazgo se cierra sin evidencia de que la acción correctiva fue eficaz.</w:t>
            </w:r>
          </w:p>
        </w:tc>
      </w:tr>
    </w:tbl>
    <w:p>
      <w:pPr>
        <w:spacing w:after="40"/>
      </w:pPr>
    </w:p>
    <w:tbl>
      <w:tblPr>
        <w:tblW w:type="auto" w:w="0"/>
        <w:tblLook w:firstColumn="1" w:firstRow="1" w:lastColumn="0" w:lastRow="0" w:noHBand="0" w:noVBand="1" w:val="04A0"/>
        <w:tblBorders>
          <w:left w:val="single" w:sz="18" w:color="F0E528"/>
        </w:tblBorders>
      </w:tblPr>
      <w:tblGrid>
        <w:gridCol w:w="9972"/>
      </w:tblGrid>
      <w:tr>
        <w:tc>
          <w:tcPr>
            <w:tcW w:type="dxa" w:w="9972"/>
            <w:shd w:val="clear" w:fill="FFF9DB"/>
          </w:tcPr>
          <w:p>
            <w:r>
              <w:rPr>
                <w:b/>
                <w:color w:val="003D80"/>
                <w:sz w:val="19"/>
              </w:rPr>
              <w:t xml:space="preserve">Pendiente: </w:t>
            </w:r>
            <w:r>
              <w:rPr>
                <w:color w:val="003D80"/>
                <w:sz w:val="19"/>
              </w:rPr>
              <w:t>[Por validar con SolarPro: confirmar el plazo máximo para que el responsable defina la acción correctiva tras recibir el informe. Este documento propone diez días hábiles como estándar de arranque; ajustar si SolarPro fija otro plazo en la validación.]</w:t>
            </w:r>
          </w:p>
        </w:tc>
      </w:tr>
    </w:tbl>
    <w:p>
      <w:pPr>
        <w:spacing w:after="40"/>
      </w:pPr>
    </w:p>
    <w:p>
      <w:pPr>
        <w:keepNext/>
        <w:spacing w:before="280" w:after="80"/>
        <w:pBdr>
          <w:bottom w:val="single" w:sz="8" w:color="F0E528"/>
        </w:pBdr>
      </w:pPr>
      <w:r>
        <w:rPr>
          <w:rFonts w:ascii="Georgia" w:hAnsi="Georgia"/>
          <w:b/>
          <w:color w:val="0056B4"/>
          <w:sz w:val="26"/>
        </w:rPr>
        <w:t>12. Programa Anual de Auditoría</w:t>
      </w:r>
    </w:p>
    <w:p>
      <w:pPr>
        <w:spacing w:after="120"/>
      </w:pPr>
      <w:r>
        <w:rPr>
          <w:rFonts w:ascii="Calibri" w:hAnsi="Calibri"/>
          <w:color w:val="1C242E"/>
          <w:sz w:val="21"/>
        </w:rPr>
        <w:t>El programa distribuye la auditoría del SGC en dos ciclos semestrales, de modo que en el año se cubran las cláusulas 4 a 10 de la norma y todos los procesos del sistema. Las fechas son una propuesta de arranque y se confirman con la Dirección General. El auditor de cada renglón respeta la regla de independencia de la sección 6.</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1994"/>
        <w:gridCol w:w="1994"/>
        <w:gridCol w:w="1994"/>
        <w:gridCol w:w="1994"/>
        <w:gridCol w:w="1994"/>
      </w:tblGrid>
      <w:tr>
        <w:tc>
          <w:tcPr>
            <w:tcW w:type="dxa" w:w="1895"/>
            <w:shd w:val="clear" w:fill="0056B4"/>
          </w:tcPr>
          <w:p>
            <w:pPr>
              <w:jc w:val="center"/>
            </w:pPr>
            <w:r/>
            <w:r>
              <w:rPr>
                <w:rFonts w:ascii="Calibri" w:hAnsi="Calibri"/>
                <w:b/>
                <w:color w:val="FFFFFF"/>
                <w:sz w:val="17"/>
              </w:rPr>
              <w:t>Proceso / área</w:t>
            </w:r>
          </w:p>
        </w:tc>
        <w:tc>
          <w:tcPr>
            <w:tcW w:type="dxa" w:w="1097"/>
            <w:shd w:val="clear" w:fill="0056B4"/>
          </w:tcPr>
          <w:p>
            <w:pPr>
              <w:jc w:val="center"/>
            </w:pPr>
            <w:r/>
            <w:r>
              <w:rPr>
                <w:rFonts w:ascii="Calibri" w:hAnsi="Calibri"/>
                <w:b/>
                <w:color w:val="FFFFFF"/>
                <w:sz w:val="17"/>
              </w:rPr>
              <w:t>Cláusula ISO 9001</w:t>
            </w:r>
          </w:p>
        </w:tc>
        <w:tc>
          <w:tcPr>
            <w:tcW w:type="dxa" w:w="3590"/>
            <w:shd w:val="clear" w:fill="0056B4"/>
          </w:tcPr>
          <w:p>
            <w:pPr>
              <w:jc w:val="center"/>
            </w:pPr>
            <w:r/>
            <w:r>
              <w:rPr>
                <w:rFonts w:ascii="Calibri" w:hAnsi="Calibri"/>
                <w:b/>
                <w:color w:val="FFFFFF"/>
                <w:sz w:val="17"/>
              </w:rPr>
              <w:t>Alcance de la revisión</w:t>
            </w:r>
          </w:p>
        </w:tc>
        <w:tc>
          <w:tcPr>
            <w:tcW w:type="dxa" w:w="1496"/>
            <w:shd w:val="clear" w:fill="0056B4"/>
          </w:tcPr>
          <w:p>
            <w:pPr>
              <w:jc w:val="center"/>
            </w:pPr>
            <w:r/>
            <w:r>
              <w:rPr>
                <w:rFonts w:ascii="Calibri" w:hAnsi="Calibri"/>
                <w:b/>
                <w:color w:val="FFFFFF"/>
                <w:sz w:val="17"/>
              </w:rPr>
              <w:t>Fecha propuesta</w:t>
            </w:r>
          </w:p>
        </w:tc>
        <w:tc>
          <w:tcPr>
            <w:tcW w:type="dxa" w:w="1895"/>
            <w:shd w:val="clear" w:fill="0056B4"/>
          </w:tcPr>
          <w:p>
            <w:pPr>
              <w:jc w:val="center"/>
            </w:pPr>
            <w:r/>
            <w:r>
              <w:rPr>
                <w:rFonts w:ascii="Calibri" w:hAnsi="Calibri"/>
                <w:b/>
                <w:color w:val="FFFFFF"/>
                <w:sz w:val="17"/>
              </w:rPr>
              <w:t>Auditor</w:t>
            </w:r>
          </w:p>
        </w:tc>
      </w:tr>
      <w:tr>
        <w:tc>
          <w:tcPr>
            <w:tcW w:type="dxa" w:w="1895"/>
          </w:tcPr>
          <w:p>
            <w:r/>
            <w:r>
              <w:rPr>
                <w:rFonts w:ascii="Calibri" w:hAnsi="Calibri"/>
                <w:b w:val="0"/>
                <w:sz w:val="19"/>
              </w:rPr>
              <w:t>Dirección y Comité de Calidad</w:t>
            </w:r>
          </w:p>
        </w:tc>
        <w:tc>
          <w:tcPr>
            <w:tcW w:type="dxa" w:w="1097"/>
          </w:tcPr>
          <w:p>
            <w:r/>
            <w:r>
              <w:rPr>
                <w:rFonts w:ascii="Calibri" w:hAnsi="Calibri"/>
                <w:b w:val="0"/>
                <w:sz w:val="19"/>
              </w:rPr>
              <w:t>4, 5, 6</w:t>
            </w:r>
          </w:p>
        </w:tc>
        <w:tc>
          <w:tcPr>
            <w:tcW w:type="dxa" w:w="3590"/>
          </w:tcPr>
          <w:p>
            <w:r/>
            <w:r>
              <w:rPr>
                <w:rFonts w:ascii="Calibri" w:hAnsi="Calibri"/>
                <w:b w:val="0"/>
                <w:sz w:val="19"/>
              </w:rPr>
              <w:t>Contexto, partes interesadas, política, objetivos, roles, riesgos y oportunidades, y planificación de cambios.</w:t>
            </w:r>
          </w:p>
        </w:tc>
        <w:tc>
          <w:tcPr>
            <w:tcW w:type="dxa" w:w="1496"/>
          </w:tcPr>
          <w:p>
            <w:r/>
            <w:r>
              <w:rPr>
                <w:rFonts w:ascii="Calibri" w:hAnsi="Calibri"/>
                <w:b w:val="0"/>
                <w:sz w:val="19"/>
              </w:rPr>
              <w:t>Ciclo 1 · nov 2026</w:t>
            </w:r>
          </w:p>
        </w:tc>
        <w:tc>
          <w:tcPr>
            <w:tcW w:type="dxa" w:w="1895"/>
          </w:tcPr>
          <w:p>
            <w:r/>
            <w:r>
              <w:rPr>
                <w:rFonts w:ascii="Calibri" w:hAnsi="Calibri"/>
                <w:b w:val="0"/>
                <w:sz w:val="19"/>
              </w:rPr>
              <w:t>Auditor alterno independiente</w:t>
            </w:r>
          </w:p>
        </w:tc>
      </w:tr>
      <w:tr>
        <w:tc>
          <w:tcPr>
            <w:tcW w:type="dxa" w:w="1895"/>
          </w:tcPr>
          <w:p>
            <w:r/>
            <w:r>
              <w:rPr>
                <w:rFonts w:ascii="Calibri" w:hAnsi="Calibri"/>
                <w:b w:val="0"/>
                <w:sz w:val="19"/>
              </w:rPr>
              <w:t>Comercial (PRO-VEN)</w:t>
            </w:r>
          </w:p>
        </w:tc>
        <w:tc>
          <w:tcPr>
            <w:tcW w:type="dxa" w:w="1097"/>
          </w:tcPr>
          <w:p>
            <w:r/>
            <w:r>
              <w:rPr>
                <w:rFonts w:ascii="Calibri" w:hAnsi="Calibri"/>
                <w:b w:val="0"/>
                <w:sz w:val="19"/>
              </w:rPr>
              <w:t>8.1, 8.2</w:t>
            </w:r>
          </w:p>
        </w:tc>
        <w:tc>
          <w:tcPr>
            <w:tcW w:type="dxa" w:w="3590"/>
          </w:tcPr>
          <w:p>
            <w:r/>
            <w:r>
              <w:rPr>
                <w:rFonts w:ascii="Calibri" w:hAnsi="Calibri"/>
                <w:b w:val="0"/>
                <w:sz w:val="19"/>
              </w:rPr>
              <w:t>Planificación operacional y revisión de requisitos del cliente en la cotización y el contrato.</w:t>
            </w:r>
          </w:p>
        </w:tc>
        <w:tc>
          <w:tcPr>
            <w:tcW w:type="dxa" w:w="1496"/>
          </w:tcPr>
          <w:p>
            <w:r/>
            <w:r>
              <w:rPr>
                <w:rFonts w:ascii="Calibri" w:hAnsi="Calibri"/>
                <w:b w:val="0"/>
                <w:sz w:val="19"/>
              </w:rPr>
              <w:t>Ciclo 1 · nov 2026</w:t>
            </w:r>
          </w:p>
        </w:tc>
        <w:tc>
          <w:tcPr>
            <w:tcW w:type="dxa" w:w="1895"/>
          </w:tcPr>
          <w:p>
            <w:r/>
            <w:r>
              <w:rPr>
                <w:rFonts w:ascii="Calibri" w:hAnsi="Calibri"/>
                <w:b w:val="0"/>
                <w:sz w:val="19"/>
              </w:rPr>
              <w:t>Gerencia Administrativa</w:t>
            </w:r>
          </w:p>
        </w:tc>
      </w:tr>
      <w:tr>
        <w:tc>
          <w:tcPr>
            <w:tcW w:type="dxa" w:w="1895"/>
          </w:tcPr>
          <w:p>
            <w:r/>
            <w:r>
              <w:rPr>
                <w:rFonts w:ascii="Calibri" w:hAnsi="Calibri"/>
                <w:b w:val="0"/>
                <w:sz w:val="19"/>
              </w:rPr>
              <w:t>Ingeniería (PRO-ING)</w:t>
            </w:r>
          </w:p>
        </w:tc>
        <w:tc>
          <w:tcPr>
            <w:tcW w:type="dxa" w:w="1097"/>
          </w:tcPr>
          <w:p>
            <w:r/>
            <w:r>
              <w:rPr>
                <w:rFonts w:ascii="Calibri" w:hAnsi="Calibri"/>
                <w:b w:val="0"/>
                <w:sz w:val="19"/>
              </w:rPr>
              <w:t>7.1.5, 8.3, 8.6</w:t>
            </w:r>
          </w:p>
        </w:tc>
        <w:tc>
          <w:tcPr>
            <w:tcW w:type="dxa" w:w="3590"/>
          </w:tcPr>
          <w:p>
            <w:r/>
            <w:r>
              <w:rPr>
                <w:rFonts w:ascii="Calibri" w:hAnsi="Calibri"/>
                <w:b w:val="0"/>
                <w:sz w:val="19"/>
              </w:rPr>
              <w:t>Equipos de medición, diseño y desarrollo, y liberación de la instalación con el acta de encendido.</w:t>
            </w:r>
          </w:p>
        </w:tc>
        <w:tc>
          <w:tcPr>
            <w:tcW w:type="dxa" w:w="1496"/>
          </w:tcPr>
          <w:p>
            <w:r/>
            <w:r>
              <w:rPr>
                <w:rFonts w:ascii="Calibri" w:hAnsi="Calibri"/>
                <w:b w:val="0"/>
                <w:sz w:val="19"/>
              </w:rPr>
              <w:t>Ciclo 1 · nov 2026</w:t>
            </w:r>
          </w:p>
        </w:tc>
        <w:tc>
          <w:tcPr>
            <w:tcW w:type="dxa" w:w="1895"/>
          </w:tcPr>
          <w:p>
            <w:r/>
            <w:r>
              <w:rPr>
                <w:rFonts w:ascii="Calibri" w:hAnsi="Calibri"/>
                <w:b w:val="0"/>
                <w:sz w:val="19"/>
              </w:rPr>
              <w:t>Gerencia Administrativa</w:t>
            </w:r>
          </w:p>
        </w:tc>
      </w:tr>
      <w:tr>
        <w:tc>
          <w:tcPr>
            <w:tcW w:type="dxa" w:w="1895"/>
          </w:tcPr>
          <w:p>
            <w:r/>
            <w:r>
              <w:rPr>
                <w:rFonts w:ascii="Calibri" w:hAnsi="Calibri"/>
                <w:b w:val="0"/>
                <w:sz w:val="19"/>
              </w:rPr>
              <w:t>Instalación y encendido (SOL-PROC-001)</w:t>
            </w:r>
          </w:p>
        </w:tc>
        <w:tc>
          <w:tcPr>
            <w:tcW w:type="dxa" w:w="1097"/>
          </w:tcPr>
          <w:p>
            <w:r/>
            <w:r>
              <w:rPr>
                <w:rFonts w:ascii="Calibri" w:hAnsi="Calibri"/>
                <w:b w:val="0"/>
                <w:sz w:val="19"/>
              </w:rPr>
              <w:t>8.5, 8.5.1</w:t>
            </w:r>
          </w:p>
        </w:tc>
        <w:tc>
          <w:tcPr>
            <w:tcW w:type="dxa" w:w="3590"/>
          </w:tcPr>
          <w:p>
            <w:r/>
            <w:r>
              <w:rPr>
                <w:rFonts w:ascii="Calibri" w:hAnsi="Calibri"/>
                <w:b w:val="0"/>
                <w:sz w:val="19"/>
              </w:rPr>
              <w:t>Ejecución de la instalación y el encendido en condiciones controladas, identificación y trazabilidad del proyecto en Trello, preservación de materiales y protección de la propiedad del cliente. Proceso a cargo de la Coordinación de Instalaciones.</w:t>
            </w:r>
          </w:p>
        </w:tc>
        <w:tc>
          <w:tcPr>
            <w:tcW w:type="dxa" w:w="1496"/>
          </w:tcPr>
          <w:p>
            <w:r/>
            <w:r>
              <w:rPr>
                <w:rFonts w:ascii="Calibri" w:hAnsi="Calibri"/>
                <w:b w:val="0"/>
                <w:sz w:val="19"/>
              </w:rPr>
              <w:t>Ciclo 1 · nov 2026</w:t>
            </w:r>
          </w:p>
        </w:tc>
        <w:tc>
          <w:tcPr>
            <w:tcW w:type="dxa" w:w="1895"/>
          </w:tcPr>
          <w:p>
            <w:r/>
            <w:r>
              <w:rPr>
                <w:rFonts w:ascii="Calibri" w:hAnsi="Calibri"/>
                <w:b w:val="0"/>
                <w:sz w:val="19"/>
              </w:rPr>
              <w:t>Gerencia Administrativa</w:t>
            </w:r>
          </w:p>
        </w:tc>
      </w:tr>
      <w:tr>
        <w:tc>
          <w:tcPr>
            <w:tcW w:type="dxa" w:w="1895"/>
          </w:tcPr>
          <w:p>
            <w:r/>
            <w:r>
              <w:rPr>
                <w:rFonts w:ascii="Calibri" w:hAnsi="Calibri"/>
                <w:b w:val="0"/>
                <w:sz w:val="19"/>
              </w:rPr>
              <w:t>Postventa (PRO-PVM)</w:t>
            </w:r>
          </w:p>
        </w:tc>
        <w:tc>
          <w:tcPr>
            <w:tcW w:type="dxa" w:w="1097"/>
          </w:tcPr>
          <w:p>
            <w:r/>
            <w:r>
              <w:rPr>
                <w:rFonts w:ascii="Calibri" w:hAnsi="Calibri"/>
                <w:b w:val="0"/>
                <w:sz w:val="19"/>
              </w:rPr>
              <w:t>8.7, 9.1, 10.2</w:t>
            </w:r>
          </w:p>
        </w:tc>
        <w:tc>
          <w:tcPr>
            <w:tcW w:type="dxa" w:w="3590"/>
          </w:tcPr>
          <w:p>
            <w:r/>
            <w:r>
              <w:rPr>
                <w:rFonts w:ascii="Calibri" w:hAnsi="Calibri"/>
                <w:b w:val="0"/>
                <w:sz w:val="19"/>
              </w:rPr>
              <w:t>Control de salidas no conformes, satisfacción del cliente, y no conformidad y acción correctiva.</w:t>
            </w:r>
          </w:p>
        </w:tc>
        <w:tc>
          <w:tcPr>
            <w:tcW w:type="dxa" w:w="1496"/>
          </w:tcPr>
          <w:p>
            <w:r/>
            <w:r>
              <w:rPr>
                <w:rFonts w:ascii="Calibri" w:hAnsi="Calibri"/>
                <w:b w:val="0"/>
                <w:sz w:val="19"/>
              </w:rPr>
              <w:t>Ciclo 1 · nov 2026</w:t>
            </w:r>
          </w:p>
        </w:tc>
        <w:tc>
          <w:tcPr>
            <w:tcW w:type="dxa" w:w="1895"/>
          </w:tcPr>
          <w:p>
            <w:r/>
            <w:r>
              <w:rPr>
                <w:rFonts w:ascii="Calibri" w:hAnsi="Calibri"/>
                <w:b w:val="0"/>
                <w:sz w:val="19"/>
              </w:rPr>
              <w:t>Gerencia Administrativa</w:t>
            </w:r>
          </w:p>
        </w:tc>
      </w:tr>
      <w:tr>
        <w:tc>
          <w:tcPr>
            <w:tcW w:type="dxa" w:w="1895"/>
          </w:tcPr>
          <w:p>
            <w:r/>
            <w:r>
              <w:rPr>
                <w:rFonts w:ascii="Calibri" w:hAnsi="Calibri"/>
                <w:b w:val="0"/>
                <w:sz w:val="19"/>
              </w:rPr>
              <w:t>Compras y proveedores</w:t>
            </w:r>
          </w:p>
        </w:tc>
        <w:tc>
          <w:tcPr>
            <w:tcW w:type="dxa" w:w="1097"/>
          </w:tcPr>
          <w:p>
            <w:r/>
            <w:r>
              <w:rPr>
                <w:rFonts w:ascii="Calibri" w:hAnsi="Calibri"/>
                <w:b w:val="0"/>
                <w:sz w:val="19"/>
              </w:rPr>
              <w:t>8.4</w:t>
            </w:r>
          </w:p>
        </w:tc>
        <w:tc>
          <w:tcPr>
            <w:tcW w:type="dxa" w:w="3590"/>
          </w:tcPr>
          <w:p>
            <w:r/>
            <w:r>
              <w:rPr>
                <w:rFonts w:ascii="Calibri" w:hAnsi="Calibri"/>
                <w:b w:val="0"/>
                <w:sz w:val="19"/>
              </w:rPr>
              <w:t>Selección y evaluación de proveedores y control de las cuadrillas de instalación externas.</w:t>
            </w:r>
          </w:p>
        </w:tc>
        <w:tc>
          <w:tcPr>
            <w:tcW w:type="dxa" w:w="1496"/>
          </w:tcPr>
          <w:p>
            <w:r/>
            <w:r>
              <w:rPr>
                <w:rFonts w:ascii="Calibri" w:hAnsi="Calibri"/>
                <w:b w:val="0"/>
                <w:sz w:val="19"/>
              </w:rPr>
              <w:t>Ciclo 2 · may 2027</w:t>
            </w:r>
          </w:p>
        </w:tc>
        <w:tc>
          <w:tcPr>
            <w:tcW w:type="dxa" w:w="1895"/>
          </w:tcPr>
          <w:p>
            <w:r/>
            <w:r>
              <w:rPr>
                <w:rFonts w:ascii="Calibri" w:hAnsi="Calibri"/>
                <w:b w:val="0"/>
                <w:sz w:val="19"/>
              </w:rPr>
              <w:t>Gerencia Administrativa</w:t>
            </w:r>
          </w:p>
        </w:tc>
      </w:tr>
      <w:tr>
        <w:tc>
          <w:tcPr>
            <w:tcW w:type="dxa" w:w="1895"/>
          </w:tcPr>
          <w:p>
            <w:r/>
            <w:r>
              <w:rPr>
                <w:rFonts w:ascii="Calibri" w:hAnsi="Calibri"/>
                <w:b w:val="0"/>
                <w:sz w:val="19"/>
              </w:rPr>
              <w:t>Apoyo y administración</w:t>
            </w:r>
          </w:p>
        </w:tc>
        <w:tc>
          <w:tcPr>
            <w:tcW w:type="dxa" w:w="1097"/>
          </w:tcPr>
          <w:p>
            <w:r/>
            <w:r>
              <w:rPr>
                <w:rFonts w:ascii="Calibri" w:hAnsi="Calibri"/>
                <w:b w:val="0"/>
                <w:sz w:val="19"/>
              </w:rPr>
              <w:t>7.1 a 7.5</w:t>
            </w:r>
          </w:p>
        </w:tc>
        <w:tc>
          <w:tcPr>
            <w:tcW w:type="dxa" w:w="3590"/>
          </w:tcPr>
          <w:p>
            <w:r/>
            <w:r>
              <w:rPr>
                <w:rFonts w:ascii="Calibri" w:hAnsi="Calibri"/>
                <w:b w:val="0"/>
                <w:sz w:val="19"/>
              </w:rPr>
              <w:t>Recursos, competencia, conciencia, comunicación y control de la información documentada en el hub.</w:t>
            </w:r>
          </w:p>
        </w:tc>
        <w:tc>
          <w:tcPr>
            <w:tcW w:type="dxa" w:w="1496"/>
          </w:tcPr>
          <w:p>
            <w:r/>
            <w:r>
              <w:rPr>
                <w:rFonts w:ascii="Calibri" w:hAnsi="Calibri"/>
                <w:b w:val="0"/>
                <w:sz w:val="19"/>
              </w:rPr>
              <w:t>Ciclo 2 · may 2027</w:t>
            </w:r>
          </w:p>
        </w:tc>
        <w:tc>
          <w:tcPr>
            <w:tcW w:type="dxa" w:w="1895"/>
          </w:tcPr>
          <w:p>
            <w:r/>
            <w:r>
              <w:rPr>
                <w:rFonts w:ascii="Calibri" w:hAnsi="Calibri"/>
                <w:b w:val="0"/>
                <w:sz w:val="19"/>
              </w:rPr>
              <w:t>Auditor alterno independiente</w:t>
            </w:r>
          </w:p>
        </w:tc>
      </w:tr>
      <w:tr>
        <w:tc>
          <w:tcPr>
            <w:tcW w:type="dxa" w:w="1895"/>
          </w:tcPr>
          <w:p>
            <w:r/>
            <w:r>
              <w:rPr>
                <w:rFonts w:ascii="Calibri" w:hAnsi="Calibri"/>
                <w:b w:val="0"/>
                <w:sz w:val="19"/>
              </w:rPr>
              <w:t>Gestión y mejora del SGC</w:t>
            </w:r>
          </w:p>
        </w:tc>
        <w:tc>
          <w:tcPr>
            <w:tcW w:type="dxa" w:w="1097"/>
          </w:tcPr>
          <w:p>
            <w:r/>
            <w:r>
              <w:rPr>
                <w:rFonts w:ascii="Calibri" w:hAnsi="Calibri"/>
                <w:b w:val="0"/>
                <w:sz w:val="19"/>
              </w:rPr>
              <w:t>9.2, 9.3, 10</w:t>
            </w:r>
          </w:p>
        </w:tc>
        <w:tc>
          <w:tcPr>
            <w:tcW w:type="dxa" w:w="3590"/>
          </w:tcPr>
          <w:p>
            <w:r/>
            <w:r>
              <w:rPr>
                <w:rFonts w:ascii="Calibri" w:hAnsi="Calibri"/>
                <w:b w:val="0"/>
                <w:sz w:val="19"/>
              </w:rPr>
              <w:t>Programa de auditoría, revisión por la dirección y mejora continua.</w:t>
            </w:r>
          </w:p>
        </w:tc>
        <w:tc>
          <w:tcPr>
            <w:tcW w:type="dxa" w:w="1496"/>
          </w:tcPr>
          <w:p>
            <w:r/>
            <w:r>
              <w:rPr>
                <w:rFonts w:ascii="Calibri" w:hAnsi="Calibri"/>
                <w:b w:val="0"/>
                <w:sz w:val="19"/>
              </w:rPr>
              <w:t>Ciclo 2 · may 2027</w:t>
            </w:r>
          </w:p>
        </w:tc>
        <w:tc>
          <w:tcPr>
            <w:tcW w:type="dxa" w:w="1895"/>
          </w:tcPr>
          <w:p>
            <w:r/>
            <w:r>
              <w:rPr>
                <w:rFonts w:ascii="Calibri" w:hAnsi="Calibri"/>
                <w:b w:val="0"/>
                <w:sz w:val="19"/>
              </w:rPr>
              <w:t>Auditor alterno independiente</w:t>
            </w:r>
          </w:p>
        </w:tc>
      </w:tr>
      <w:tr>
        <w:tc>
          <w:tcPr>
            <w:tcW w:type="dxa" w:w="1895"/>
          </w:tcPr>
          <w:p>
            <w:r/>
            <w:r>
              <w:rPr>
                <w:rFonts w:ascii="Calibri" w:hAnsi="Calibri"/>
                <w:b w:val="0"/>
                <w:sz w:val="19"/>
              </w:rPr>
              <w:t>Seguimiento de hallazgos del Ciclo 1</w:t>
            </w:r>
          </w:p>
        </w:tc>
        <w:tc>
          <w:tcPr>
            <w:tcW w:type="dxa" w:w="1097"/>
          </w:tcPr>
          <w:p>
            <w:r/>
            <w:r>
              <w:rPr>
                <w:rFonts w:ascii="Calibri" w:hAnsi="Calibri"/>
                <w:b w:val="0"/>
                <w:sz w:val="19"/>
              </w:rPr>
              <w:t>10.2</w:t>
            </w:r>
          </w:p>
        </w:tc>
        <w:tc>
          <w:tcPr>
            <w:tcW w:type="dxa" w:w="3590"/>
          </w:tcPr>
          <w:p>
            <w:r/>
            <w:r>
              <w:rPr>
                <w:rFonts w:ascii="Calibri" w:hAnsi="Calibri"/>
                <w:b w:val="0"/>
                <w:sz w:val="19"/>
              </w:rPr>
              <w:t>Verificación del cierre y de la eficacia de las acciones correctivas del ciclo anterior.</w:t>
            </w:r>
          </w:p>
        </w:tc>
        <w:tc>
          <w:tcPr>
            <w:tcW w:type="dxa" w:w="1496"/>
          </w:tcPr>
          <w:p>
            <w:r/>
            <w:r>
              <w:rPr>
                <w:rFonts w:ascii="Calibri" w:hAnsi="Calibri"/>
                <w:b w:val="0"/>
                <w:sz w:val="19"/>
              </w:rPr>
              <w:t>Ciclo 2 · may 2027</w:t>
            </w:r>
          </w:p>
        </w:tc>
        <w:tc>
          <w:tcPr>
            <w:tcW w:type="dxa" w:w="1895"/>
          </w:tcPr>
          <w:p>
            <w:r/>
            <w:r>
              <w:rPr>
                <w:rFonts w:ascii="Calibri" w:hAnsi="Calibri"/>
                <w:b w:val="0"/>
                <w:sz w:val="19"/>
              </w:rPr>
              <w:t>Gerencia Administrativa</w:t>
            </w:r>
          </w:p>
        </w:tc>
      </w:tr>
    </w:tbl>
    <w:tbl>
      <w:tblPr>
        <w:tblW w:type="auto" w:w="0"/>
        <w:tblLook w:firstColumn="1" w:firstRow="1" w:lastColumn="0" w:lastRow="0" w:noHBand="0" w:noVBand="1" w:val="04A0"/>
        <w:tblBorders>
          <w:left w:val="single" w:sz="16" w:color="F0E528"/>
        </w:tblBorders>
      </w:tblPr>
      <w:tblGrid>
        <w:gridCol w:w="9972"/>
      </w:tblGrid>
      <w:tr>
        <w:tc>
          <w:tcPr>
            <w:tcW w:type="dxa" w:w="9972"/>
            <w:shd w:val="clear" w:fill="FFF9DB"/>
          </w:tcPr>
          <w:p>
            <w:r/>
            <w:r>
              <w:rPr>
                <w:rFonts w:ascii="Calibri" w:hAnsi="Calibri"/>
                <w:b w:val="0"/>
                <w:color w:val="003D80"/>
                <w:sz w:val="17"/>
              </w:rPr>
              <w:t>Los procesos que coordina la Gerencia Administrativa se asignan a un auditor alterno independiente, porque el auditor no puede auditar su propio trabajo.</w:t>
            </w:r>
          </w:p>
        </w:tc>
      </w:tr>
    </w:tbl>
    <w:p>
      <w:pPr>
        <w:spacing w:after="40"/>
      </w:pPr>
    </w:p>
    <w:tbl>
      <w:tblPr>
        <w:tblW w:type="auto" w:w="0"/>
        <w:tblLook w:firstColumn="1" w:firstRow="1" w:lastColumn="0" w:lastRow="0" w:noHBand="0" w:noVBand="1" w:val="04A0"/>
        <w:tblBorders>
          <w:left w:val="single" w:sz="18" w:color="F0E528"/>
        </w:tblBorders>
      </w:tblPr>
      <w:tblGrid>
        <w:gridCol w:w="9972"/>
      </w:tblGrid>
      <w:tr>
        <w:tc>
          <w:tcPr>
            <w:tcW w:type="dxa" w:w="9972"/>
            <w:shd w:val="clear" w:fill="FFF9DB"/>
          </w:tcPr>
          <w:p>
            <w:r>
              <w:rPr>
                <w:b/>
                <w:color w:val="003D80"/>
                <w:sz w:val="19"/>
              </w:rPr>
              <w:t xml:space="preserve">Pendiente: </w:t>
            </w:r>
            <w:r>
              <w:rPr>
                <w:color w:val="003D80"/>
                <w:sz w:val="19"/>
              </w:rPr>
              <w:t>[Por validar con SolarPro: cerrar los días exactos de cada auditoría del programa antes de aprobar el documento, en sustitución de las fechas a nivel mes de la propuesta de arranque; nombre del auditor interno titular; y nombre del auditor alterno o externo que cubra las áreas a cargo de la Gerencia Administrativa (Dirección y Comité, Apoyo y administración, y Gestión del SGC).]</w:t>
            </w:r>
          </w:p>
        </w:tc>
      </w:tr>
    </w:tbl>
    <w:p>
      <w:pPr>
        <w:spacing w:after="40"/>
      </w:pPr>
    </w:p>
    <w:p>
      <w:pPr>
        <w:keepNext/>
        <w:spacing w:before="280" w:after="80"/>
        <w:pBdr>
          <w:bottom w:val="single" w:sz="8" w:color="F0E528"/>
        </w:pBdr>
      </w:pPr>
      <w:r>
        <w:rPr>
          <w:rFonts w:ascii="Georgia" w:hAnsi="Georgia"/>
          <w:b/>
          <w:color w:val="0056B4"/>
          <w:sz w:val="26"/>
        </w:rPr>
        <w:t>13. Registros y control documental</w:t>
      </w:r>
    </w:p>
    <w:p>
      <w:pPr>
        <w:spacing w:after="120"/>
      </w:pPr>
      <w:r>
        <w:rPr>
          <w:rFonts w:ascii="Calibri" w:hAnsi="Calibri"/>
          <w:color w:val="1C242E"/>
          <w:sz w:val="21"/>
        </w:rPr>
        <w:t>La ejecución de este procedimiento genera los registros siguientes:</w:t>
      </w:r>
    </w:p>
    <w:p>
      <w:pPr>
        <w:pStyle w:val="ListBullet"/>
      </w:pPr>
      <w:r>
        <w:rPr>
          <w:rFonts w:ascii="Calibri" w:hAnsi="Calibri"/>
          <w:sz w:val="20"/>
        </w:rPr>
        <w:t>Programa anual de auditoría aprobado.</w:t>
      </w:r>
    </w:p>
    <w:p>
      <w:pPr>
        <w:pStyle w:val="ListBullet"/>
      </w:pPr>
      <w:r>
        <w:rPr>
          <w:rFonts w:ascii="Calibri" w:hAnsi="Calibri"/>
          <w:sz w:val="20"/>
        </w:rPr>
        <w:t>Plan y lista de verificación de cada auditoría.</w:t>
      </w:r>
    </w:p>
    <w:p>
      <w:pPr>
        <w:pStyle w:val="ListBullet"/>
      </w:pPr>
      <w:r>
        <w:rPr>
          <w:rFonts w:ascii="Calibri" w:hAnsi="Calibri"/>
          <w:sz w:val="20"/>
        </w:rPr>
        <w:t>Informe de auditoría con los hallazgos clasificados.</w:t>
      </w:r>
    </w:p>
    <w:p>
      <w:pPr>
        <w:pStyle w:val="ListBullet"/>
      </w:pPr>
      <w:r>
        <w:rPr>
          <w:rFonts w:ascii="Calibri" w:hAnsi="Calibri"/>
          <w:sz w:val="20"/>
        </w:rPr>
        <w:t>Registro de las acciones correctivas y su seguimiento hasta el cierre.</w:t>
      </w:r>
    </w:p>
    <w:p>
      <w:pPr>
        <w:pStyle w:val="ListBullet"/>
      </w:pPr>
      <w:r>
        <w:rPr>
          <w:rFonts w:ascii="Calibri" w:hAnsi="Calibri"/>
          <w:sz w:val="20"/>
        </w:rPr>
        <w:t>Constancia del refresco de competencia del auditor.</w:t>
      </w:r>
    </w:p>
    <w:p>
      <w:pPr>
        <w:pStyle w:val="ListBullet"/>
      </w:pPr>
      <w:r>
        <w:rPr>
          <w:rFonts w:ascii="Calibri" w:hAnsi="Calibri"/>
          <w:sz w:val="20"/>
        </w:rPr>
        <w:t>Designación por escrito del auditor interno y del auditor alterno.</w:t>
      </w:r>
    </w:p>
    <w:p>
      <w:pPr>
        <w:spacing w:after="120"/>
      </w:pPr>
      <w:r>
        <w:rPr>
          <w:rFonts w:ascii="Calibri" w:hAnsi="Calibri"/>
          <w:color w:val="1C242E"/>
          <w:sz w:val="21"/>
        </w:rPr>
        <w:t>Los registros se conservan como información documentada del SGC en el hub, conforme a la sección 7.5 del Manual de Calidad MC-SP-01.</w:t>
      </w:r>
    </w:p>
    <w:p>
      <w:pPr>
        <w:keepNext/>
        <w:spacing w:before="280" w:after="80"/>
        <w:pBdr>
          <w:bottom w:val="single" w:sz="8" w:color="F0E528"/>
        </w:pBdr>
      </w:pPr>
      <w:r>
        <w:rPr>
          <w:rFonts w:ascii="Georgia" w:hAnsi="Georgia"/>
          <w:b/>
          <w:color w:val="0056B4"/>
          <w:sz w:val="26"/>
        </w:rPr>
        <w:t>14. Responsabilidades</w:t>
      </w:r>
    </w:p>
    <w:tbl>
      <w:tblPr>
        <w:tblW w:type="auto" w:w="0"/>
        <w:tblLook w:firstColumn="1" w:firstRow="1" w:lastColumn="0" w:lastRow="0" w:noHBand="0" w:noVBand="1" w:val="04A0"/>
        <w:tblBorders>
          <w:top w:val="single" w:sz="4" w:color="404040"/>
          <w:left w:val="single" w:sz="4" w:color="404040"/>
          <w:bottom w:val="single" w:sz="4" w:color="404040"/>
          <w:right w:val="single" w:sz="4" w:color="404040"/>
          <w:insideH w:val="single" w:sz="4" w:color="404040"/>
          <w:insideV w:val="single" w:sz="4" w:color="404040"/>
        </w:tblBorders>
      </w:tblPr>
      <w:tblGrid>
        <w:gridCol w:w="4986"/>
        <w:gridCol w:w="4986"/>
      </w:tblGrid>
      <w:tr>
        <w:tc>
          <w:tcPr>
            <w:tcW w:type="dxa" w:w="6980"/>
            <w:shd w:val="clear" w:fill="0056B4"/>
          </w:tcPr>
          <w:p>
            <w:pPr>
              <w:jc w:val="center"/>
            </w:pPr>
            <w:r/>
            <w:r>
              <w:rPr>
                <w:rFonts w:ascii="Calibri" w:hAnsi="Calibri"/>
                <w:b/>
                <w:color w:val="FFFFFF"/>
                <w:sz w:val="17"/>
              </w:rPr>
              <w:t>Actividad</w:t>
            </w:r>
          </w:p>
        </w:tc>
        <w:tc>
          <w:tcPr>
            <w:tcW w:type="dxa" w:w="2992"/>
            <w:shd w:val="clear" w:fill="0056B4"/>
          </w:tcPr>
          <w:p>
            <w:pPr>
              <w:jc w:val="center"/>
            </w:pPr>
            <w:r/>
            <w:r>
              <w:rPr>
                <w:rFonts w:ascii="Calibri" w:hAnsi="Calibri"/>
                <w:b/>
                <w:color w:val="FFFFFF"/>
                <w:sz w:val="17"/>
              </w:rPr>
              <w:t>Responsable</w:t>
            </w:r>
          </w:p>
        </w:tc>
      </w:tr>
      <w:tr>
        <w:tc>
          <w:tcPr>
            <w:tcW w:type="dxa" w:w="6980"/>
          </w:tcPr>
          <w:p>
            <w:r/>
            <w:r>
              <w:rPr>
                <w:rFonts w:ascii="Calibri" w:hAnsi="Calibri"/>
                <w:b w:val="0"/>
                <w:sz w:val="19"/>
              </w:rPr>
              <w:t>Aprobar el programa anual y la designación del auditor interno</w:t>
            </w:r>
          </w:p>
        </w:tc>
        <w:tc>
          <w:tcPr>
            <w:tcW w:type="dxa" w:w="2992"/>
          </w:tcPr>
          <w:p>
            <w:r/>
            <w:r>
              <w:rPr>
                <w:rFonts w:ascii="Calibri" w:hAnsi="Calibri"/>
                <w:b w:val="0"/>
                <w:sz w:val="19"/>
              </w:rPr>
              <w:t>Dirección General</w:t>
            </w:r>
          </w:p>
        </w:tc>
      </w:tr>
      <w:tr>
        <w:tc>
          <w:tcPr>
            <w:tcW w:type="dxa" w:w="6980"/>
          </w:tcPr>
          <w:p>
            <w:r/>
            <w:r>
              <w:rPr>
                <w:rFonts w:ascii="Calibri" w:hAnsi="Calibri"/>
                <w:b w:val="0"/>
                <w:sz w:val="19"/>
              </w:rPr>
              <w:t>Elaborar el programa, coordinar las auditorías y custodiar los registros</w:t>
            </w:r>
          </w:p>
        </w:tc>
        <w:tc>
          <w:tcPr>
            <w:tcW w:type="dxa" w:w="2992"/>
          </w:tcPr>
          <w:p>
            <w:r/>
            <w:r>
              <w:rPr>
                <w:rFonts w:ascii="Calibri" w:hAnsi="Calibri"/>
                <w:b w:val="0"/>
                <w:sz w:val="19"/>
              </w:rPr>
              <w:t>Gerencia Administrativa</w:t>
            </w:r>
          </w:p>
        </w:tc>
      </w:tr>
      <w:tr>
        <w:tc>
          <w:tcPr>
            <w:tcW w:type="dxa" w:w="6980"/>
          </w:tcPr>
          <w:p>
            <w:r/>
            <w:r>
              <w:rPr>
                <w:rFonts w:ascii="Calibri" w:hAnsi="Calibri"/>
                <w:b w:val="0"/>
                <w:sz w:val="19"/>
              </w:rPr>
              <w:t>Ejecutar las auditorías según el ámbito asignado</w:t>
            </w:r>
          </w:p>
        </w:tc>
        <w:tc>
          <w:tcPr>
            <w:tcW w:type="dxa" w:w="2992"/>
          </w:tcPr>
          <w:p>
            <w:r/>
            <w:r>
              <w:rPr>
                <w:rFonts w:ascii="Calibri" w:hAnsi="Calibri"/>
                <w:b w:val="0"/>
                <w:sz w:val="19"/>
              </w:rPr>
              <w:t>Auditor interno y auditor alterno independiente</w:t>
            </w:r>
          </w:p>
        </w:tc>
      </w:tr>
      <w:tr>
        <w:tc>
          <w:tcPr>
            <w:tcW w:type="dxa" w:w="6980"/>
          </w:tcPr>
          <w:p>
            <w:r/>
            <w:r>
              <w:rPr>
                <w:rFonts w:ascii="Calibri" w:hAnsi="Calibri"/>
                <w:b w:val="0"/>
                <w:sz w:val="19"/>
              </w:rPr>
              <w:t>Atender la auditoría y aportar la evidencia de su proceso</w:t>
            </w:r>
          </w:p>
        </w:tc>
        <w:tc>
          <w:tcPr>
            <w:tcW w:type="dxa" w:w="2992"/>
          </w:tcPr>
          <w:p>
            <w:r/>
            <w:r>
              <w:rPr>
                <w:rFonts w:ascii="Calibri" w:hAnsi="Calibri"/>
                <w:b w:val="0"/>
                <w:sz w:val="19"/>
              </w:rPr>
              <w:t>Coordinación Comercial, Coordinación de Ingeniería, Coordinación de Instalaciones y Coordinación de Postventa</w:t>
            </w:r>
          </w:p>
        </w:tc>
      </w:tr>
      <w:tr>
        <w:tc>
          <w:tcPr>
            <w:tcW w:type="dxa" w:w="6980"/>
          </w:tcPr>
          <w:p>
            <w:r/>
            <w:r>
              <w:rPr>
                <w:rFonts w:ascii="Calibri" w:hAnsi="Calibri"/>
                <w:b w:val="0"/>
                <w:sz w:val="19"/>
              </w:rPr>
              <w:t>Definir y ejecutar las acciones correctivas de los hallazgos de su proceso</w:t>
            </w:r>
          </w:p>
        </w:tc>
        <w:tc>
          <w:tcPr>
            <w:tcW w:type="dxa" w:w="2992"/>
          </w:tcPr>
          <w:p>
            <w:r/>
            <w:r>
              <w:rPr>
                <w:rFonts w:ascii="Calibri" w:hAnsi="Calibri"/>
                <w:b w:val="0"/>
                <w:sz w:val="19"/>
              </w:rPr>
              <w:t>Responsable del proceso auditado</w:t>
            </w:r>
          </w:p>
        </w:tc>
      </w:tr>
      <w:tr>
        <w:tc>
          <w:tcPr>
            <w:tcW w:type="dxa" w:w="6980"/>
          </w:tcPr>
          <w:p>
            <w:r/>
            <w:r>
              <w:rPr>
                <w:rFonts w:ascii="Calibri" w:hAnsi="Calibri"/>
                <w:b w:val="0"/>
                <w:sz w:val="19"/>
              </w:rPr>
              <w:t>Verificar el cierre y la eficacia de las acciones correctivas</w:t>
            </w:r>
          </w:p>
        </w:tc>
        <w:tc>
          <w:tcPr>
            <w:tcW w:type="dxa" w:w="2992"/>
          </w:tcPr>
          <w:p>
            <w:r/>
            <w:r>
              <w:rPr>
                <w:rFonts w:ascii="Calibri" w:hAnsi="Calibri"/>
                <w:b w:val="0"/>
                <w:sz w:val="19"/>
              </w:rPr>
              <w:t>Gerencia Administrativa</w:t>
            </w:r>
          </w:p>
        </w:tc>
      </w:tr>
      <w:tr>
        <w:tc>
          <w:tcPr>
            <w:tcW w:type="dxa" w:w="6980"/>
          </w:tcPr>
          <w:p>
            <w:r/>
            <w:r>
              <w:rPr>
                <w:rFonts w:ascii="Calibri" w:hAnsi="Calibri"/>
                <w:b w:val="0"/>
                <w:sz w:val="19"/>
              </w:rPr>
              <w:t>Revisar los resultados de la auditoría en la revisión por la dirección</w:t>
            </w:r>
          </w:p>
        </w:tc>
        <w:tc>
          <w:tcPr>
            <w:tcW w:type="dxa" w:w="2992"/>
          </w:tcPr>
          <w:p>
            <w:r/>
            <w:r>
              <w:rPr>
                <w:rFonts w:ascii="Calibri" w:hAnsi="Calibri"/>
                <w:b w:val="0"/>
                <w:sz w:val="19"/>
              </w:rPr>
              <w:t>Comité de Calidad</w:t>
            </w:r>
          </w:p>
        </w:tc>
      </w:tr>
    </w:tbl>
    <w:tbl>
      <w:tblPr>
        <w:tblW w:type="auto" w:w="0"/>
        <w:tblLook w:firstColumn="1" w:firstRow="1" w:lastColumn="0" w:lastRow="0" w:noHBand="0" w:noVBand="1" w:val="04A0"/>
        <w:tblBorders>
          <w:left w:val="single" w:sz="18" w:color="F0E528"/>
        </w:tblBorders>
      </w:tblPr>
      <w:tblGrid>
        <w:gridCol w:w="9972"/>
      </w:tblGrid>
      <w:tr>
        <w:tc>
          <w:tcPr>
            <w:tcW w:type="dxa" w:w="9972"/>
            <w:shd w:val="clear" w:fill="FFF9DB"/>
          </w:tcPr>
          <w:p>
            <w:r>
              <w:rPr>
                <w:b/>
                <w:color w:val="003D80"/>
                <w:sz w:val="19"/>
              </w:rPr>
              <w:t xml:space="preserve">Pendiente: </w:t>
            </w:r>
            <w:r>
              <w:rPr>
                <w:color w:val="003D80"/>
                <w:sz w:val="19"/>
              </w:rPr>
              <w:t>[Por validar con SolarPro: alinear el vocabulario de roles entre este procedimiento y el Manual de Calidad MC-SP-01. El manual nombra a los dueños de proceso como Gerencia Comercial y Coordinación de Instalaciones; este procedimiento usa Coordinación Comercial por convención del encargo. Unificar la nomenclatura antes de aprobar el documento.]</w:t>
            </w:r>
          </w:p>
        </w:tc>
      </w:tr>
    </w:tbl>
    <w:p>
      <w:pPr>
        <w:spacing w:after="40"/>
      </w:pPr>
    </w:p>
    <w:p>
      <w:pPr>
        <w:keepNext/>
        <w:spacing w:before="280" w:after="80"/>
        <w:pBdr>
          <w:bottom w:val="single" w:sz="8" w:color="F0E528"/>
        </w:pBdr>
      </w:pPr>
      <w:r>
        <w:rPr>
          <w:rFonts w:ascii="Georgia" w:hAnsi="Georgia"/>
          <w:b/>
          <w:color w:val="0056B4"/>
          <w:sz w:val="26"/>
        </w:rPr>
        <w:t>APROBACIÓN</w:t>
      </w:r>
    </w:p>
    <w:p>
      <w:pPr>
        <w:spacing w:after="120"/>
      </w:pPr>
    </w:p>
    <w:p>
      <w:pPr>
        <w:keepNext/>
        <w:spacing w:after="320"/>
      </w:pPr>
    </w:p>
    <w:tbl>
      <w:tblPr>
        <w:tblW w:type="auto" w:w="0"/>
        <w:tblLook w:firstColumn="1" w:firstRow="1" w:lastColumn="0" w:lastRow="0" w:noHBand="0" w:noVBand="1" w:val="04A0"/>
      </w:tblPr>
      <w:tblGrid>
        <w:gridCol w:w="3324"/>
        <w:gridCol w:w="3324"/>
        <w:gridCol w:w="3324"/>
      </w:tblGrid>
      <w:tr>
        <w:tc>
          <w:tcPr>
            <w:tcW w:type="dxa" w:w="3324"/>
          </w:tcPr>
          <w:p>
            <w:pPr>
              <w:jc w:val="center"/>
            </w:pPr>
            <w:r/>
            <w:r>
              <w:rPr>
                <w:sz w:val="20"/>
              </w:rPr>
              <w:t>__________________________</w:t>
            </w:r>
          </w:p>
        </w:tc>
        <w:tc>
          <w:tcPr>
            <w:tcW w:type="dxa" w:w="3324"/>
          </w:tcPr>
          <w:p>
            <w:pPr>
              <w:jc w:val="center"/>
            </w:pPr>
            <w:r/>
            <w:r>
              <w:rPr>
                <w:sz w:val="20"/>
              </w:rPr>
              <w:t>__________________________</w:t>
            </w:r>
          </w:p>
        </w:tc>
        <w:tc>
          <w:tcPr>
            <w:tcW w:type="dxa" w:w="3324"/>
          </w:tcPr>
          <w:p>
            <w:pPr>
              <w:jc w:val="center"/>
            </w:pPr>
            <w:r/>
            <w:r>
              <w:rPr>
                <w:sz w:val="20"/>
              </w:rPr>
              <w:t>__________________________</w:t>
            </w:r>
          </w:p>
        </w:tc>
      </w:tr>
      <w:tr>
        <w:tc>
          <w:tcPr>
            <w:tcW w:type="dxa" w:w="3324"/>
          </w:tcPr>
          <w:p>
            <w:pPr>
              <w:jc w:val="center"/>
            </w:pPr>
            <w:r/>
            <w:r>
              <w:rPr>
                <w:rFonts w:ascii="Calibri" w:hAnsi="Calibri"/>
                <w:b w:val="0"/>
                <w:color w:val="595959"/>
                <w:sz w:val="17"/>
              </w:rPr>
              <w:t>Elaboró</w:t>
              <w:br/>
              <w:t>DETA Consultores</w:t>
            </w:r>
          </w:p>
        </w:tc>
        <w:tc>
          <w:tcPr>
            <w:tcW w:type="dxa" w:w="3324"/>
          </w:tcPr>
          <w:p>
            <w:pPr>
              <w:jc w:val="center"/>
            </w:pPr>
            <w:r/>
            <w:r>
              <w:rPr>
                <w:rFonts w:ascii="Calibri" w:hAnsi="Calibri"/>
                <w:b w:val="0"/>
                <w:color w:val="595959"/>
                <w:sz w:val="17"/>
              </w:rPr>
              <w:t>Revisó</w:t>
              <w:br/>
              <w:t>Gerencia Administrativa</w:t>
            </w:r>
          </w:p>
        </w:tc>
        <w:tc>
          <w:tcPr>
            <w:tcW w:type="dxa" w:w="3324"/>
          </w:tcPr>
          <w:p>
            <w:pPr>
              <w:jc w:val="center"/>
            </w:pPr>
            <w:r/>
            <w:r>
              <w:rPr>
                <w:rFonts w:ascii="Calibri" w:hAnsi="Calibri"/>
                <w:b w:val="0"/>
                <w:color w:val="595959"/>
                <w:sz w:val="17"/>
              </w:rPr>
              <w:t>Aprobó</w:t>
              <w:br/>
              <w:t>Dirección General</w:t>
            </w:r>
          </w:p>
        </w:tc>
      </w:tr>
    </w:tbl>
    <w:sectPr w:rsidR="00FC693F" w:rsidRPr="0006063C" w:rsidSect="00034616">
      <w:footerReference w:type="default" r:id="rId9"/>
      <w:pgSz w:w="12240" w:h="15840"/>
      <w:pgMar w:top="1077" w:right="1134" w:bottom="107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
      <w:rPr>
        <w:rFonts w:ascii="Calibri" w:hAnsi="Calibri"/>
        <w:color w:val="595959"/>
        <w:sz w:val="15"/>
      </w:rPr>
      <w:t>SolarPro · Auditoría Interna · PRG-AUD-001 V1</w:t>
    </w:r>
    <w:r>
      <w:tab/>
    </w:r>
    <w:r>
      <w:rPr>
        <w:rFonts w:ascii="Calibri" w:hAnsi="Calibri"/>
        <w:sz w:val="16"/>
      </w:rPr>
      <w:fldChar w:fldCharType="begin"/>
    </w:r>
    <w:r>
      <w:rPr>
        <w:rFonts w:ascii="Calibri" w:hAnsi="Calibri"/>
        <w:sz w:val="16"/>
      </w:rPr>
      <w:instrText xml:space="preserve"> PAGE </w:instrText>
    </w:r>
    <w:r>
      <w:fldChar w:fldCharType="separate"/>
    </w:r>
    <w:r>
      <w:rPr>
        <w:rFonts w:ascii="Calibri" w:hAnsi="Calibri"/>
        <w:sz w:val="16"/>
      </w:rPr>
      <w:t>1</w:t>
    </w:r>
    <w:r>
      <w:fldChar w:fldCharType="end"/>
    </w:r>
    <w:r>
      <w:rPr>
        <w:color w:val="595959"/>
        <w:sz w:val="15"/>
      </w:rPr>
      <w:t xml:space="preserve"> / </w:t>
    </w:r>
    <w:r>
      <w:rPr>
        <w:rFonts w:ascii="Calibri" w:hAnsi="Calibri"/>
        <w:sz w:val="16"/>
      </w:rPr>
      <w:fldChar w:fldCharType="begin"/>
    </w:r>
    <w:r>
      <w:rPr>
        <w:rFonts w:ascii="Calibri" w:hAnsi="Calibri"/>
        <w:sz w:val="16"/>
      </w:rPr>
      <w:instrText xml:space="preserve"> NUMPAGES </w:instrText>
    </w:r>
    <w:r>
      <w:fldChar w:fldCharType="separate"/>
    </w:r>
    <w:r>
      <w:rPr>
        <w:rFonts w:ascii="Calibri" w:hAnsi="Calibri"/>
        <w:sz w:val="16"/>
      </w:rPr>
      <w:t>1</w:t>
    </w:r>
    <w:r>
      <w:fldChar w:fldCharType="end"/>
    </w:r>
    <w:r>
      <w:tab/>
    </w:r>
    <w:r>
      <w:rPr>
        <w:rFonts w:ascii="Calibri" w:hAnsi="Calibri"/>
        <w:color w:val="595959"/>
        <w:sz w:val="15"/>
      </w:rPr>
      <w:t>Elaboró DETA Consultores</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