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448"/>
            <w:vMerge w:val="restart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224000" cy="40217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aneles-solares-chihuahua-financiamiento-cotizacion-credito-energia-solar-cibanco-solarpro-sustainable-energy-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000" cy="40217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080"/>
            <w:vMerge w:val="restart"/>
            <w:shd w:val="clear" w:fill="F2F2F2"/>
          </w:tcPr>
          <w:p>
            <w:pPr>
              <w:jc w:val="center"/>
            </w:pPr>
            <w:r/>
            <w:r>
              <w:rPr>
                <w:rFonts w:ascii="Georgia" w:hAnsi="Georgia"/>
                <w:b/>
                <w:sz w:val="26"/>
              </w:rPr>
              <w:t>Cierre, Contrato y Anticipo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Código: </w:t>
            </w:r>
            <w:r>
              <w:rPr>
                <w:rFonts w:ascii="Calibri" w:hAnsi="Calibri"/>
                <w:sz w:val="15"/>
              </w:rPr>
              <w:t>PRO-VEN-03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Versión: </w:t>
            </w:r>
            <w:r>
              <w:rPr>
                <w:rFonts w:ascii="Calibri" w:hAnsi="Calibri"/>
                <w:sz w:val="15"/>
              </w:rPr>
              <w:t>1.0</w:t>
            </w:r>
          </w:p>
        </w:tc>
      </w:tr>
      <w:tr>
        <w:tc>
          <w:tcPr>
            <w:tcW w:type="dxa" w:w="2448"/>
            <w:vMerge/>
          </w:tcPr>
          <w:p/>
        </w:tc>
        <w:tc>
          <w:tcPr>
            <w:tcW w:type="dxa" w:w="4080"/>
            <w:vMerge/>
          </w:tcPr>
          <w:p/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Emisión: </w:t>
            </w:r>
            <w:r>
              <w:rPr>
                <w:rFonts w:ascii="Calibri" w:hAnsi="Calibri"/>
                <w:sz w:val="15"/>
              </w:rPr>
              <w:t>Septiembre 2026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Revisión: </w:t>
            </w:r>
            <w:r>
              <w:rPr>
                <w:rFonts w:ascii="Calibri" w:hAnsi="Calibri"/>
                <w:sz w:val="15"/>
              </w:rPr>
              <w:t>Diciembre 2026</w:t>
            </w:r>
          </w:p>
        </w:tc>
      </w:tr>
      <w:tr>
        <w:tc>
          <w:tcPr>
            <w:tcW w:type="dxa" w:w="2448"/>
            <w:vMerge/>
          </w:tcPr>
          <w:p/>
        </w:tc>
        <w:tc>
          <w:tcPr>
            <w:tcW w:type="dxa" w:w="408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6"/>
              </w:rPr>
              <w:t>Procedimiento Comercial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Estado: </w:t>
            </w:r>
            <w:r>
              <w:rPr>
                <w:rFonts w:ascii="Calibri" w:hAnsi="Calibri"/>
                <w:sz w:val="15"/>
              </w:rPr>
              <w:t>Borrador para validación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Página: </w:t>
            </w:r>
            <w:r>
              <w:rPr>
                <w:rFonts w:ascii="Calibri" w:hAnsi="Calibri"/>
                <w:sz w:val="15"/>
              </w:rPr>
              <w:fldChar w:fldCharType="begin"/>
            </w:r>
            <w:r>
              <w:rPr>
                <w:rFonts w:ascii="Calibri" w:hAnsi="Calibri"/>
                <w:sz w:val="15"/>
              </w:rPr>
              <w:instrText xml:space="preserve"> PAGE </w:instrText>
            </w:r>
            <w:r>
              <w:fldChar w:fldCharType="separate"/>
            </w:r>
            <w:r>
              <w:rPr>
                <w:rFonts w:ascii="Calibri" w:hAnsi="Calibri"/>
                <w:sz w:val="15"/>
              </w:rPr>
              <w:t>1</w:t>
            </w:r>
            <w:r>
              <w:fldChar w:fldCharType="end"/>
            </w:r>
            <w:r>
              <w:rPr>
                <w:rFonts w:ascii="Calibri" w:hAnsi="Calibri"/>
                <w:sz w:val="15"/>
              </w:rPr>
              <w:t xml:space="preserve"> de </w:t>
            </w:r>
            <w:r>
              <w:rPr>
                <w:rFonts w:ascii="Calibri" w:hAnsi="Calibri"/>
                <w:sz w:val="15"/>
              </w:rPr>
              <w:fldChar w:fldCharType="begin"/>
            </w:r>
            <w:r>
              <w:rPr>
                <w:rFonts w:ascii="Calibri" w:hAnsi="Calibri"/>
                <w:sz w:val="15"/>
              </w:rPr>
              <w:instrText xml:space="preserve"> NUMPAGES </w:instrText>
            </w:r>
            <w:r>
              <w:fldChar w:fldCharType="separate"/>
            </w:r>
            <w:r>
              <w:rPr>
                <w:rFonts w:ascii="Calibri" w:hAnsi="Calibri"/>
                <w:sz w:val="15"/>
              </w:rPr>
              <w:t>1</w:t>
            </w:r>
            <w:r>
              <w:fldChar w:fldCharType="end"/>
            </w:r>
          </w:p>
        </w:tc>
      </w:tr>
      <w:tr>
        <w:tc>
          <w:tcPr>
            <w:tcW w:type="dxa" w:w="2448"/>
            <w:vMerge/>
          </w:tcPr>
          <w:p/>
        </w:tc>
        <w:tc>
          <w:tcPr>
            <w:tcW w:type="dxa" w:w="408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6"/>
              </w:rPr>
              <w:t>Cláusula ISO 9001: 8.2.3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Propietario: </w:t>
            </w:r>
            <w:r>
              <w:rPr>
                <w:rFonts w:ascii="Calibri" w:hAnsi="Calibri"/>
                <w:sz w:val="15"/>
              </w:rPr>
              <w:t>Gerencia Comercial</w:t>
            </w:r>
          </w:p>
        </w:tc>
        <w:tc>
          <w:tcPr>
            <w:tcW w:type="dxa" w:w="1836"/>
          </w:tcPr>
          <w:p>
            <w:r/>
            <w:r>
              <w:rPr>
                <w:rFonts w:ascii="Calibri" w:hAnsi="Calibri"/>
                <w:b/>
                <w:sz w:val="15"/>
              </w:rPr>
              <w:t xml:space="preserve">Elaboró: </w:t>
            </w:r>
            <w:r>
              <w:rPr>
                <w:rFonts w:ascii="Calibri" w:hAnsi="Calibri"/>
                <w:sz w:val="15"/>
              </w:rPr>
              <w:t>DETA Consultores</w:t>
            </w:r>
          </w:p>
        </w:tc>
      </w:tr>
    </w:tbl>
    <w:p>
      <w:pPr>
        <w:spacing w:before="40" w:after="160"/>
        <w:pBdr>
          <w:bottom w:val="single" w:sz="18" w:color="F0E528"/>
        </w:pBdr>
      </w:pPr>
    </w:p>
    <w:tbl>
      <w:tblPr>
        <w:tblW w:type="auto" w:w="0"/>
        <w:tblLook w:firstColumn="1" w:firstRow="1" w:lastColumn="0" w:lastRow="0" w:noHBand="0" w:noVBand="1" w:val="04A0"/>
        <w:tblBorders>
          <w:left w:val="single" w:sz="16" w:color="F0E528"/>
        </w:tblBorders>
      </w:tblPr>
      <w:tblGrid>
        <w:gridCol w:w="10200"/>
      </w:tblGrid>
      <w:tr>
        <w:tc>
          <w:tcPr>
            <w:tcW w:type="dxa" w:w="10200"/>
            <w:shd w:val="clear" w:fill="FFF9DB"/>
          </w:tcPr>
          <w:p>
            <w:r/>
            <w:r>
              <w:rPr>
                <w:rFonts w:ascii="Calibri" w:hAnsi="Calibri"/>
                <w:b w:val="0"/>
                <w:color w:val="003D80"/>
                <w:sz w:val="17"/>
              </w:rPr>
              <w:t>Importante: El contrato firmado es la aceptación oficial de los requisitos del cliente. El proyecto se detona con el anticipo del enganche del 30 por ciento; sin anticipo no se programa a operaciones.</w:t>
            </w:r>
          </w:p>
        </w:tc>
      </w:tr>
    </w:tbl>
    <w:p>
      <w:pPr>
        <w:spacing w:after="40"/>
      </w:pP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1. OBJETIVO</w:t>
      </w:r>
    </w:p>
    <w:p>
      <w:pPr>
        <w:spacing w:after="120"/>
      </w:pPr>
      <w:r>
        <w:rPr>
          <w:rFonts w:ascii="Calibri" w:hAnsi="Calibri"/>
          <w:color w:val="1C242E"/>
          <w:sz w:val="21"/>
        </w:rPr>
        <w:t>Estandarizar el cierre de la venta, la firma del contrato como aceptación de requisitos y el registro del esquema de cobranza 30-50-20 con el anticipo, para formalizar el compromiso y detonar el proyecto.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2. ALCANCE</w:t>
      </w:r>
    </w:p>
    <w:p>
      <w:pPr>
        <w:spacing w:after="120"/>
      </w:pPr>
      <w:r>
        <w:rPr>
          <w:rFonts w:ascii="Calibri" w:hAnsi="Calibri"/>
          <w:color w:val="1C242E"/>
          <w:sz w:val="21"/>
        </w:rPr>
        <w:t>Aplica a todo prospecto con cotización formal aceptada. Cubre desde la negociación y el cierre hasta el cobro del enganche y la detonación del proyecto hacia Ingeniería.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3. DEFINICIONES Y ABREVIATURAS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5100"/>
        <w:gridCol w:w="5100"/>
      </w:tblGrid>
      <w:tr>
        <w:tc>
          <w:tcPr>
            <w:tcW w:type="dxa" w:w="2856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Término</w:t>
            </w:r>
          </w:p>
        </w:tc>
        <w:tc>
          <w:tcPr>
            <w:tcW w:type="dxa" w:w="7344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Definición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Esquema 30-50-20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Cobranza en tres hitos: 30 por ciento de enganche, 50 por ciento en instalación y 20 por ciento en encendido.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Enganche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Anticipo del 30 por ciento que cubre el dimensionamiento, el render y el arranque de trámites.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Contrato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Documento que formaliza la aceptación de los requisitos por ambas partes.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4. DOCUMENTOS DE REFERENCIA</w:t>
      </w:r>
    </w:p>
    <w:p>
      <w:pPr>
        <w:pStyle w:val="ListBullet"/>
      </w:pPr>
      <w:r>
        <w:rPr>
          <w:rFonts w:ascii="Calibri" w:hAnsi="Calibri"/>
          <w:sz w:val="20"/>
        </w:rPr>
        <w:t>ISO 9001:2015 cláusula 8.2.3 (revisión de los requisitos para los productos y servicios)</w:t>
      </w:r>
    </w:p>
    <w:p>
      <w:pPr>
        <w:pStyle w:val="ListBullet"/>
      </w:pPr>
      <w:r>
        <w:rPr>
          <w:rFonts w:ascii="Calibri" w:hAnsi="Calibri"/>
          <w:sz w:val="20"/>
        </w:rPr>
        <w:t>POL-VEN-001 Políticas Comerciales</w:t>
      </w:r>
    </w:p>
    <w:p>
      <w:pPr>
        <w:pStyle w:val="ListBullet"/>
      </w:pPr>
      <w:r>
        <w:rPr>
          <w:rFonts w:ascii="Calibri" w:hAnsi="Calibri"/>
          <w:sz w:val="20"/>
        </w:rPr>
        <w:t>CON-MER-001 Contrato mercantil</w:t>
      </w:r>
    </w:p>
    <w:p>
      <w:pPr>
        <w:pStyle w:val="ListBullet"/>
      </w:pPr>
      <w:r>
        <w:rPr>
          <w:rFonts w:ascii="Calibri" w:hAnsi="Calibri"/>
          <w:sz w:val="20"/>
        </w:rPr>
        <w:t>PRO-VEN-04 Handoff Comercial a Ingeniería</w:t>
      </w:r>
    </w:p>
    <w:p>
      <w:pPr>
        <w:pStyle w:val="ListBullet"/>
      </w:pPr>
      <w:r>
        <w:rPr>
          <w:rFonts w:ascii="Calibri" w:hAnsi="Calibri"/>
          <w:sz w:val="20"/>
        </w:rPr>
        <w:t>PRO-VEN-05 Cobranza y Seguimiento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5. RESPONSABILIDADES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5100"/>
        <w:gridCol w:w="5100"/>
      </w:tblGrid>
      <w:tr>
        <w:tc>
          <w:tcPr>
            <w:tcW w:type="dxa" w:w="3060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Responsable</w:t>
            </w:r>
          </w:p>
        </w:tc>
        <w:tc>
          <w:tcPr>
            <w:tcW w:type="dxa" w:w="7140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Funciones</w:t>
            </w:r>
          </w:p>
        </w:tc>
      </w:tr>
      <w:tr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  <w:t>Especialista de Producto</w:t>
            </w:r>
          </w:p>
        </w:tc>
        <w:tc>
          <w:tcPr>
            <w:tcW w:type="dxa" w:w="7140"/>
          </w:tcPr>
          <w:p>
            <w:r/>
            <w:r>
              <w:rPr>
                <w:rFonts w:ascii="Calibri" w:hAnsi="Calibri"/>
                <w:b w:val="0"/>
                <w:sz w:val="19"/>
              </w:rPr>
              <w:t>Negociar y cerrar la venta  ·  Gestionar la firma del contrato  ·  Recolectar el anticipo del enganche  ·  Detonar el proyecto</w:t>
            </w:r>
          </w:p>
        </w:tc>
      </w:tr>
      <w:tr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  <w:t>Gerencia Comercial</w:t>
            </w:r>
          </w:p>
        </w:tc>
        <w:tc>
          <w:tcPr>
            <w:tcW w:type="dxa" w:w="7140"/>
          </w:tcPr>
          <w:p>
            <w:r/>
            <w:r>
              <w:rPr>
                <w:rFonts w:ascii="Calibri" w:hAnsi="Calibri"/>
                <w:b w:val="0"/>
                <w:sz w:val="19"/>
              </w:rPr>
              <w:t>Autorizar condiciones fuera del esquema estándar</w:t>
            </w:r>
          </w:p>
        </w:tc>
      </w:tr>
      <w:tr>
        <w:tc>
          <w:tcPr>
            <w:tcW w:type="dxa" w:w="3060"/>
          </w:tcPr>
          <w:p>
            <w:r/>
            <w:r>
              <w:rPr>
                <w:rFonts w:ascii="Calibri" w:hAnsi="Calibri"/>
                <w:b w:val="0"/>
                <w:sz w:val="19"/>
              </w:rPr>
              <w:t>Gerencia Administrativa</w:t>
            </w:r>
          </w:p>
        </w:tc>
        <w:tc>
          <w:tcPr>
            <w:tcW w:type="dxa" w:w="7140"/>
          </w:tcPr>
          <w:p>
            <w:r/>
            <w:r>
              <w:rPr>
                <w:rFonts w:ascii="Calibri" w:hAnsi="Calibri"/>
                <w:b w:val="0"/>
                <w:sz w:val="19"/>
              </w:rPr>
              <w:t>Registrar el anticipo y el expediente del cliente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6. POLÍTICAS Y LINEAMIENTOS</w:t>
      </w:r>
    </w:p>
    <w:p>
      <w:pPr>
        <w:spacing w:after="100"/>
      </w:pPr>
      <w:r>
        <w:rPr>
          <w:b/>
          <w:color w:val="0056B4"/>
          <w:sz w:val="20"/>
        </w:rPr>
        <w:t xml:space="preserve">Contrato como aceptación. </w:t>
      </w:r>
      <w:r>
        <w:rPr>
          <w:rFonts w:ascii="Calibri" w:hAnsi="Calibri"/>
          <w:sz w:val="20"/>
        </w:rPr>
        <w:t>El contrato firmado por ambas partes es la aceptación oficial de los requisitos del cliente; la firma por SolarPro la ejerce quien tenga el poder de firma que defina Dirección.</w:t>
      </w:r>
    </w:p>
    <w:p>
      <w:pPr>
        <w:spacing w:after="100"/>
      </w:pPr>
      <w:r>
        <w:rPr>
          <w:b/>
          <w:color w:val="0056B4"/>
          <w:sz w:val="20"/>
        </w:rPr>
        <w:t xml:space="preserve">Esquema 30-50-20. </w:t>
      </w:r>
      <w:r>
        <w:rPr>
          <w:rFonts w:ascii="Calibri" w:hAnsi="Calibri"/>
          <w:sz w:val="20"/>
        </w:rPr>
        <w:t>La cobranza se estructura en 30 por ciento de enganche, 50 por ciento en instalación y 20 por ciento en encendido.</w:t>
      </w:r>
    </w:p>
    <w:p>
      <w:pPr>
        <w:spacing w:after="100"/>
      </w:pPr>
      <w:r>
        <w:rPr>
          <w:b/>
          <w:color w:val="0056B4"/>
          <w:sz w:val="20"/>
        </w:rPr>
        <w:t xml:space="preserve">Anticipo para programar. </w:t>
      </w:r>
      <w:r>
        <w:rPr>
          <w:rFonts w:ascii="Calibri" w:hAnsi="Calibri"/>
          <w:sz w:val="20"/>
        </w:rPr>
        <w:t>El proyecto no se programa a operaciones sin el anticipo del enganche registrado.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7. DESARROLLO DEL PROCEDIMIENTO</w:t>
      </w:r>
    </w:p>
    <w:p>
      <w:pPr>
        <w:spacing w:after="80"/>
      </w:pPr>
      <w:r>
        <w:rPr>
          <w:rFonts w:ascii="Calibri" w:hAnsi="Calibri"/>
          <w:color w:val="1C242E"/>
          <w:sz w:val="20"/>
        </w:rPr>
        <w:t>El procedimiento se desarrolla en fases secuenciales. Cada paso identifica al responsable y, cuando aplica, el registro que debe generarse.</w:t>
      </w:r>
    </w:p>
    <w:p>
      <w:pPr>
        <w:spacing w:before="160" w:after="60"/>
      </w:pPr>
      <w:r>
        <w:rPr>
          <w:b/>
          <w:color w:val="1C242E"/>
          <w:sz w:val="21"/>
        </w:rPr>
        <w:t>Fase 1. Cierre</w:t>
      </w:r>
    </w:p>
    <w:p>
      <w:pPr>
        <w:spacing w:after="60"/>
        <w:ind w:left="340"/>
      </w:pPr>
      <w:r>
        <w:rPr>
          <w:b/>
          <w:sz w:val="20"/>
        </w:rPr>
        <w:t xml:space="preserve">1. Negociar y cerrar </w:t>
      </w:r>
      <w:r>
        <w:rPr>
          <w:rFonts w:ascii="Calibri" w:hAnsi="Calibri"/>
          <w:sz w:val="20"/>
        </w:rPr>
        <w:t>· Negociar por el valor de la solución y cerrar la venta dentro de las condiciones autorizadas.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Especialista de Producto</w:t>
      </w:r>
    </w:p>
    <w:p>
      <w:pPr>
        <w:spacing w:after="60"/>
        <w:ind w:left="340"/>
      </w:pPr>
      <w:r>
        <w:rPr>
          <w:b/>
          <w:sz w:val="20"/>
        </w:rPr>
        <w:t xml:space="preserve">2. Firmar el contrato </w:t>
      </w:r>
      <w:r>
        <w:rPr>
          <w:rFonts w:ascii="Calibri" w:hAnsi="Calibri"/>
          <w:sz w:val="20"/>
        </w:rPr>
        <w:t>· Formalizar la aceptación de los requisitos con la firma del contrato por ambas partes.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Especialista de Producto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Registro: </w:t>
      </w:r>
      <w:r>
        <w:rPr>
          <w:rFonts w:ascii="Calibri" w:hAnsi="Calibri"/>
          <w:color w:val="595959"/>
          <w:sz w:val="18"/>
        </w:rPr>
        <w:t>Contrato firmado (CON-MER-001)</w:t>
      </w:r>
    </w:p>
    <w:p>
      <w:pPr>
        <w:spacing w:before="160" w:after="60"/>
      </w:pPr>
      <w:r>
        <w:rPr>
          <w:b/>
          <w:color w:val="1C242E"/>
          <w:sz w:val="21"/>
        </w:rPr>
        <w:t>Fase 2. Anticipo</w:t>
      </w:r>
    </w:p>
    <w:p>
      <w:pPr>
        <w:spacing w:after="60"/>
        <w:ind w:left="340"/>
      </w:pPr>
      <w:r>
        <w:rPr>
          <w:b/>
          <w:sz w:val="20"/>
        </w:rPr>
        <w:t xml:space="preserve">3. Cobrar el enganche </w:t>
      </w:r>
      <w:r>
        <w:rPr>
          <w:rFonts w:ascii="Calibri" w:hAnsi="Calibri"/>
          <w:sz w:val="20"/>
        </w:rPr>
        <w:t>· Recolectar el anticipo del 30 por ciento; Gerencia Administrativa lo registra en el expediente.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Especialista de Producto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Registro: </w:t>
      </w:r>
      <w:r>
        <w:rPr>
          <w:rFonts w:ascii="Calibri" w:hAnsi="Calibri"/>
          <w:color w:val="595959"/>
          <w:sz w:val="18"/>
        </w:rPr>
        <w:t>Recibo de anticipo (formato por desarrollar)</w:t>
      </w:r>
    </w:p>
    <w:p>
      <w:pPr>
        <w:spacing w:before="160" w:after="60"/>
      </w:pPr>
      <w:r>
        <w:rPr>
          <w:b/>
          <w:color w:val="1C242E"/>
          <w:sz w:val="21"/>
        </w:rPr>
        <w:t>Fase 3. Detonación</w:t>
      </w:r>
    </w:p>
    <w:p>
      <w:pPr>
        <w:spacing w:after="60"/>
        <w:ind w:left="340"/>
      </w:pPr>
      <w:r>
        <w:rPr>
          <w:b/>
          <w:sz w:val="20"/>
        </w:rPr>
        <w:t xml:space="preserve">4. Detonar el proyecto </w:t>
      </w:r>
      <w:r>
        <w:rPr>
          <w:rFonts w:ascii="Calibri" w:hAnsi="Calibri"/>
          <w:sz w:val="20"/>
        </w:rPr>
        <w:t>· Con el anticipo registrado, detonar el proyecto y traspasar a Ingeniería conforme a PRO-VEN-04.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Responsable: </w:t>
      </w:r>
      <w:r>
        <w:rPr>
          <w:rFonts w:ascii="Calibri" w:hAnsi="Calibri"/>
          <w:color w:val="595959"/>
          <w:sz w:val="18"/>
        </w:rPr>
        <w:t>Especialista de Producto</w:t>
      </w:r>
    </w:p>
    <w:p>
      <w:pPr>
        <w:spacing w:after="20"/>
        <w:ind w:left="680"/>
      </w:pPr>
      <w:r>
        <w:rPr>
          <w:b/>
          <w:color w:val="595959"/>
          <w:sz w:val="18"/>
        </w:rPr>
        <w:t xml:space="preserve">Control: </w:t>
      </w:r>
      <w:r>
        <w:rPr>
          <w:rFonts w:ascii="Calibri" w:hAnsi="Calibri"/>
          <w:color w:val="595959"/>
          <w:sz w:val="18"/>
        </w:rPr>
        <w:t>Anticipo registrado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8. DIAGRAMA DE FLUJO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133262" cy="6840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-ven-03-cierr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33262" cy="684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i/>
          <w:color w:val="595959"/>
          <w:sz w:val="17"/>
        </w:rPr>
        <w:t>Del cierre de la venta a la detonación del proyecto con el anticipo.</w:t>
      </w:r>
    </w:p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9. REGISTROS Y FORMATOS ASOCIADOS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5100"/>
        <w:gridCol w:w="5100"/>
      </w:tblGrid>
      <w:tr>
        <w:tc>
          <w:tcPr>
            <w:tcW w:type="dxa" w:w="2856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Código</w:t>
            </w:r>
          </w:p>
        </w:tc>
        <w:tc>
          <w:tcPr>
            <w:tcW w:type="dxa" w:w="7344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Formato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CON-MER-001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Contrato mercantil firmado</w:t>
            </w:r>
          </w:p>
        </w:tc>
      </w:tr>
      <w:tr>
        <w:tc>
          <w:tcPr>
            <w:tcW w:type="dxa" w:w="2856"/>
          </w:tcPr>
          <w:p>
            <w:r/>
            <w:r>
              <w:rPr>
                <w:rFonts w:ascii="Calibri" w:hAnsi="Calibri"/>
                <w:b w:val="0"/>
                <w:sz w:val="19"/>
              </w:rPr>
              <w:t>Recibo</w:t>
            </w:r>
          </w:p>
        </w:tc>
        <w:tc>
          <w:tcPr>
            <w:tcW w:type="dxa" w:w="7344"/>
          </w:tcPr>
          <w:p>
            <w:r/>
            <w:r>
              <w:rPr>
                <w:rFonts w:ascii="Calibri" w:hAnsi="Calibri"/>
                <w:b w:val="0"/>
                <w:sz w:val="19"/>
              </w:rPr>
              <w:t>Recibo de anticipo del enganche (formato por desarrollar)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10. CONTROL DE CAMBIOS</w:t>
      </w: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404040"/>
          <w:left w:val="single" w:sz="4" w:color="404040"/>
          <w:bottom w:val="single" w:sz="4" w:color="404040"/>
          <w:right w:val="single" w:sz="4" w:color="404040"/>
          <w:insideH w:val="single" w:sz="4" w:color="404040"/>
          <w:insideV w:val="single" w:sz="4" w:color="404040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224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Versión</w:t>
            </w:r>
          </w:p>
        </w:tc>
        <w:tc>
          <w:tcPr>
            <w:tcW w:type="dxa" w:w="1632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Fecha</w:t>
            </w:r>
          </w:p>
        </w:tc>
        <w:tc>
          <w:tcPr>
            <w:tcW w:type="dxa" w:w="5712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Descripción del cambio</w:t>
            </w:r>
          </w:p>
        </w:tc>
        <w:tc>
          <w:tcPr>
            <w:tcW w:type="dxa" w:w="1632"/>
            <w:shd w:val="clear" w:fill="0056B4"/>
          </w:tcPr>
          <w:p>
            <w:pPr>
              <w:jc w:val="center"/>
            </w:pPr>
            <w:r/>
            <w:r>
              <w:rPr>
                <w:rFonts w:ascii="Calibri" w:hAnsi="Calibri"/>
                <w:b/>
                <w:color w:val="FFFFFF"/>
                <w:sz w:val="17"/>
              </w:rPr>
              <w:t>Elaboró</w:t>
            </w:r>
          </w:p>
        </w:tc>
      </w:tr>
      <w:tr>
        <w:tc>
          <w:tcPr>
            <w:tcW w:type="dxa" w:w="1224"/>
          </w:tcPr>
          <w:p>
            <w:r/>
            <w:r>
              <w:rPr>
                <w:rFonts w:ascii="Calibri" w:hAnsi="Calibri"/>
                <w:b w:val="0"/>
                <w:sz w:val="19"/>
              </w:rPr>
              <w:t>1.0</w:t>
            </w:r>
          </w:p>
        </w:tc>
        <w:tc>
          <w:tcPr>
            <w:tcW w:type="dxa" w:w="1632"/>
          </w:tcPr>
          <w:p>
            <w:r/>
            <w:r>
              <w:rPr>
                <w:rFonts w:ascii="Calibri" w:hAnsi="Calibri"/>
                <w:b w:val="0"/>
                <w:sz w:val="19"/>
              </w:rPr>
              <w:t>Septiembre 2026</w:t>
            </w:r>
          </w:p>
        </w:tc>
        <w:tc>
          <w:tcPr>
            <w:tcW w:type="dxa" w:w="5712"/>
          </w:tcPr>
          <w:p>
            <w:r/>
            <w:r>
              <w:rPr>
                <w:rFonts w:ascii="Calibri" w:hAnsi="Calibri"/>
                <w:b w:val="0"/>
                <w:sz w:val="19"/>
              </w:rPr>
              <w:t>Emisión inicial a partir de las Políticas Comerciales v2. Revisión trimestral.</w:t>
            </w:r>
          </w:p>
        </w:tc>
        <w:tc>
          <w:tcPr>
            <w:tcW w:type="dxa" w:w="1632"/>
          </w:tcPr>
          <w:p>
            <w:r/>
            <w:r>
              <w:rPr>
                <w:rFonts w:ascii="Calibri" w:hAnsi="Calibri"/>
                <w:b w:val="0"/>
                <w:sz w:val="19"/>
              </w:rPr>
              <w:t>DETA Consultores</w:t>
            </w:r>
          </w:p>
        </w:tc>
      </w:tr>
    </w:tbl>
    <w:p>
      <w:pPr>
        <w:keepNext/>
        <w:spacing w:before="240" w:after="80"/>
        <w:pBdr>
          <w:bottom w:val="single" w:sz="8" w:color="F0E528"/>
        </w:pBdr>
      </w:pPr>
      <w:r>
        <w:rPr>
          <w:rFonts w:ascii="Georgia" w:hAnsi="Georgia"/>
          <w:b/>
          <w:color w:val="0056B4"/>
          <w:sz w:val="22"/>
        </w:rPr>
        <w:t>11. CONTROL DE FIRMAS</w:t>
      </w:r>
    </w:p>
    <w:p>
      <w:pPr>
        <w:spacing w:after="120"/>
      </w:pPr>
    </w:p>
    <w:p>
      <w:pPr>
        <w:keepNext/>
        <w:spacing w:after="32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3400"/>
        <w:gridCol w:w="3400"/>
        <w:gridCol w:w="3400"/>
      </w:tblGrid>
      <w:tr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sz w:val="20"/>
              </w:rPr>
              <w:t>__________________________</w:t>
            </w:r>
          </w:p>
        </w:tc>
      </w:tr>
      <w:tr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Elaboró</w:t>
              <w:br/>
              <w:t>DETA Consultores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Revisó</w:t>
              <w:br/>
              <w:t>Gerencia Comercial</w:t>
            </w:r>
          </w:p>
        </w:tc>
        <w:tc>
          <w:tcPr>
            <w:tcW w:type="dxa" w:w="3400"/>
          </w:tcPr>
          <w:p>
            <w:pPr>
              <w:jc w:val="center"/>
            </w:pPr>
            <w:r/>
            <w:r>
              <w:rPr>
                <w:rFonts w:ascii="Calibri" w:hAnsi="Calibri"/>
                <w:b w:val="0"/>
                <w:color w:val="595959"/>
                <w:sz w:val="17"/>
              </w:rPr>
              <w:t>Aprobó</w:t>
              <w:br/>
              <w:t>Dirección General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  <w:r>
      <w:rPr>
        <w:rFonts w:ascii="Calibri" w:hAnsi="Calibri"/>
        <w:color w:val="595959"/>
        <w:sz w:val="15"/>
      </w:rPr>
      <w:t>SolarPro · Procedimiento Comercial · PRO-VEN-03 V1.0</w:t>
    </w:r>
    <w:r>
      <w:tab/>
      <w:tab/>
    </w:r>
    <w:r>
      <w:rPr>
        <w:rFonts w:ascii="Calibri" w:hAnsi="Calibri"/>
        <w:color w:val="595959"/>
        <w:sz w:val="15"/>
      </w:rPr>
      <w:t>Elaboró DETA Consultores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