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448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4021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neles-solares-chihuahua-financiamiento-cotizacion-credito-energia-solar-cibanco-solarpro-sustainable-energy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4021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80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6"/>
              </w:rPr>
              <w:t>Cobranza y Seguimiento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Código: </w:t>
            </w:r>
            <w:r>
              <w:rPr>
                <w:rFonts w:ascii="Calibri" w:hAnsi="Calibri"/>
                <w:sz w:val="15"/>
              </w:rPr>
              <w:t>PRO-VEN-05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Versión: </w:t>
            </w:r>
            <w:r>
              <w:rPr>
                <w:rFonts w:ascii="Calibri" w:hAnsi="Calibri"/>
                <w:sz w:val="15"/>
              </w:rPr>
              <w:t>1.0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Emisión: </w:t>
            </w:r>
            <w:r>
              <w:rPr>
                <w:rFonts w:ascii="Calibri" w:hAnsi="Calibri"/>
                <w:sz w:val="15"/>
              </w:rPr>
              <w:t>Septiembre 2026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Revisión: </w:t>
            </w:r>
            <w:r>
              <w:rPr>
                <w:rFonts w:ascii="Calibri" w:hAnsi="Calibri"/>
                <w:sz w:val="15"/>
              </w:rPr>
              <w:t>Diciembre 2026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Procedimiento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Estado: </w:t>
            </w:r>
            <w:r>
              <w:rPr>
                <w:rFonts w:ascii="Calibri" w:hAnsi="Calibri"/>
                <w:sz w:val="15"/>
              </w:rPr>
              <w:t>Borrador para validación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Página: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PAGE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  <w:r>
              <w:rPr>
                <w:rFonts w:ascii="Calibri" w:hAnsi="Calibri"/>
                <w:sz w:val="15"/>
              </w:rPr>
              <w:t xml:space="preserve"> de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NUMPAGES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Cláusula ISO 9001: 8.2.1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Propietario: </w:t>
            </w:r>
            <w:r>
              <w:rPr>
                <w:rFonts w:ascii="Calibri" w:hAnsi="Calibri"/>
                <w:sz w:val="15"/>
              </w:rPr>
              <w:t>Gerencia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Elaboró: </w:t>
            </w:r>
            <w:r>
              <w:rPr>
                <w:rFonts w:ascii="Calibri" w:hAnsi="Calibri"/>
                <w:sz w:val="15"/>
              </w:rPr>
              <w:t>DETA Consultores</w:t>
            </w:r>
          </w:p>
        </w:tc>
      </w:tr>
    </w:tbl>
    <w:p>
      <w:pPr>
        <w:spacing w:before="40" w:after="160"/>
        <w:pBdr>
          <w:bottom w:val="single" w:sz="18" w:color="F0E528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0E528"/>
        </w:tblBorders>
      </w:tblPr>
      <w:tblGrid>
        <w:gridCol w:w="10200"/>
      </w:tblGrid>
      <w:tr>
        <w:tc>
          <w:tcPr>
            <w:tcW w:type="dxa" w:w="10200"/>
            <w:shd w:val="clear" w:fill="FFF9DB"/>
          </w:tcPr>
          <w:p>
            <w:r/>
            <w:r>
              <w:rPr>
                <w:rFonts w:ascii="Calibri" w:hAnsi="Calibri"/>
                <w:b w:val="0"/>
                <w:color w:val="003D80"/>
                <w:sz w:val="17"/>
              </w:rPr>
              <w:t>Importante: La cobranza se cierra por checklist cuando el proyecto queda saldado. El enganche del 30 por ciento se rige por PRO-VEN-03; este procedimiento cubre los hitos de instalación y encendido.</w:t>
            </w:r>
          </w:p>
        </w:tc>
      </w:tr>
    </w:tbl>
    <w:p>
      <w:pPr>
        <w:spacing w:after="40"/>
      </w:pP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1. OBJETIVO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Estandarizar la cobranza del esquema 30-50-20 por hitos y el seguimiento del expediente hasta el cierre por checklist, para asegurar el cobro completo del proyecto.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2. ALCANCE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Aplica a todo proyecto con anticipo registrado. Cubre el cobro de los hitos de instalación y encendido y el cierre de cobranza por checklist. El enganche se rige por PRO-VEN-03.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3. DEFINICIONES Y ABREVIATURAS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Término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Definición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Hito de cobranza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Momento del esquema 30-50-20 en el que se cobra una parte del proyecto.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Cierre por checklist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Verificación con checklist de que el proyecto quedó saldado, con evidencias de obra y expediente completo.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Expediente de cobranza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Registro del estatus de pagos y saldos del proyecto que administra Gerencia Administrativa.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4. DOCUMENTOS DE REFERENCIA</w:t>
      </w:r>
    </w:p>
    <w:p>
      <w:pPr>
        <w:pStyle w:val="ListBullet"/>
      </w:pPr>
      <w:r>
        <w:rPr>
          <w:rFonts w:ascii="Calibri" w:hAnsi="Calibri"/>
          <w:sz w:val="20"/>
        </w:rPr>
        <w:t>ISO 9001:2015 cláusula 8.2.1 (comunicación con el cliente)</w:t>
      </w:r>
    </w:p>
    <w:p>
      <w:pPr>
        <w:pStyle w:val="ListBullet"/>
      </w:pPr>
      <w:r>
        <w:rPr>
          <w:rFonts w:ascii="Calibri" w:hAnsi="Calibri"/>
          <w:sz w:val="20"/>
        </w:rPr>
        <w:t>POL-VEN-001 Políticas Comerciales</w:t>
      </w:r>
    </w:p>
    <w:p>
      <w:pPr>
        <w:pStyle w:val="ListBullet"/>
      </w:pPr>
      <w:r>
        <w:rPr>
          <w:rFonts w:ascii="Calibri" w:hAnsi="Calibri"/>
          <w:sz w:val="20"/>
        </w:rPr>
        <w:t>PRO-VEN-03 Cierre, Contrato y Anticipo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5. RESPONSABILIDADES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306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714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Funciones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Especialista de Producto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Dar seguimiento comercial a los hitos  ·  Gestionar el cobro con el cliente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Operaciones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Aportar las evidencias de obra y el parte de cierre que habilitan el cobro y el cierre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Gerencia Administrativa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Registrar los pagos y el expediente de cobranza  ·  Cerrar la cobranza por checklist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Gerencia Comercial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Atender los escalamientos de morosidad y autorizar variaciones al esquema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6. POLÍTICAS Y LINEAMIENTOS</w:t>
      </w:r>
    </w:p>
    <w:p>
      <w:pPr>
        <w:spacing w:after="100"/>
      </w:pPr>
      <w:r>
        <w:rPr>
          <w:b/>
          <w:color w:val="0056B4"/>
          <w:sz w:val="20"/>
        </w:rPr>
        <w:t xml:space="preserve">Cobro por hitos. </w:t>
      </w:r>
      <w:r>
        <w:rPr>
          <w:rFonts w:ascii="Calibri" w:hAnsi="Calibri"/>
          <w:sz w:val="20"/>
        </w:rPr>
        <w:t>El proyecto se cobra en los hitos del esquema 30-50-20: enganche (PRO-VEN-03), instalación y encendido.</w:t>
      </w:r>
    </w:p>
    <w:p>
      <w:pPr>
        <w:spacing w:after="100"/>
      </w:pPr>
      <w:r>
        <w:rPr>
          <w:b/>
          <w:color w:val="0056B4"/>
          <w:sz w:val="20"/>
        </w:rPr>
        <w:t xml:space="preserve">Cierre por checklist. </w:t>
      </w:r>
      <w:r>
        <w:rPr>
          <w:rFonts w:ascii="Calibri" w:hAnsi="Calibri"/>
          <w:sz w:val="20"/>
        </w:rPr>
        <w:t>El cierre de cobranza lo realiza Gerencia Administrativa por checklist, habilitado por las evidencias de obra de Operaciones y con el expediente completo.</w:t>
      </w:r>
    </w:p>
    <w:p>
      <w:pPr>
        <w:spacing w:after="100"/>
      </w:pPr>
      <w:r>
        <w:rPr>
          <w:b/>
          <w:color w:val="0056B4"/>
          <w:sz w:val="20"/>
        </w:rPr>
        <w:t xml:space="preserve">Escalamiento de morosidad. </w:t>
      </w:r>
      <w:r>
        <w:rPr>
          <w:rFonts w:ascii="Calibri" w:hAnsi="Calibri"/>
          <w:sz w:val="20"/>
        </w:rPr>
        <w:t>Si un hito no se cubre en el plazo definido, el seguimiento se escala del asesor a Gerencia Comercial y, de persistir, a Dirección General. Toda variación al esquema 30-50-20 requiere autorización de Gerencia Comercial.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7. DESARROLLO DEL PROCEDIMIENTO</w:t>
      </w:r>
    </w:p>
    <w:p>
      <w:pPr>
        <w:spacing w:after="80"/>
      </w:pPr>
      <w:r>
        <w:rPr>
          <w:rFonts w:ascii="Calibri" w:hAnsi="Calibri"/>
          <w:color w:val="1C242E"/>
          <w:sz w:val="20"/>
        </w:rPr>
        <w:t>El procedimiento se desarrolla en fases secuenciales. Cada paso identifica al responsable y, cuando aplica, el registro que debe generarse.</w:t>
      </w:r>
    </w:p>
    <w:p>
      <w:pPr>
        <w:spacing w:before="160" w:after="60"/>
      </w:pPr>
      <w:r>
        <w:rPr>
          <w:b/>
          <w:color w:val="1C242E"/>
          <w:sz w:val="21"/>
        </w:rPr>
        <w:t>Fase 1. Instalación</w:t>
      </w:r>
    </w:p>
    <w:p>
      <w:pPr>
        <w:spacing w:after="60"/>
        <w:ind w:left="340"/>
      </w:pPr>
      <w:r>
        <w:rPr>
          <w:b/>
          <w:sz w:val="20"/>
        </w:rPr>
        <w:t xml:space="preserve">1. Cobrar el hito de instalación </w:t>
      </w:r>
      <w:r>
        <w:rPr>
          <w:rFonts w:ascii="Calibri" w:hAnsi="Calibri"/>
          <w:sz w:val="20"/>
        </w:rPr>
        <w:t>· Dar seguimiento y gestionar el cobro del 50 por ciento en la etapa de instalación, habilitado por las evidencias de obra.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Expediente de cobranza</w:t>
      </w:r>
    </w:p>
    <w:p>
      <w:pPr>
        <w:spacing w:before="160" w:after="60"/>
      </w:pPr>
      <w:r>
        <w:rPr>
          <w:b/>
          <w:color w:val="1C242E"/>
          <w:sz w:val="21"/>
        </w:rPr>
        <w:t>Fase 2. Encendido</w:t>
      </w:r>
    </w:p>
    <w:p>
      <w:pPr>
        <w:spacing w:after="60"/>
        <w:ind w:left="340"/>
      </w:pPr>
      <w:r>
        <w:rPr>
          <w:b/>
          <w:sz w:val="20"/>
        </w:rPr>
        <w:t xml:space="preserve">2. Cobrar el hito de encendido </w:t>
      </w:r>
      <w:r>
        <w:rPr>
          <w:rFonts w:ascii="Calibri" w:hAnsi="Calibri"/>
          <w:sz w:val="20"/>
        </w:rPr>
        <w:t>· Dar seguimiento y gestionar el cobro del 20 por ciento en el encendido.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Expediente de cobranza</w:t>
      </w:r>
    </w:p>
    <w:p>
      <w:pPr>
        <w:spacing w:before="160" w:after="60"/>
      </w:pPr>
      <w:r>
        <w:rPr>
          <w:b/>
          <w:color w:val="1C242E"/>
          <w:sz w:val="21"/>
        </w:rPr>
        <w:t>Fase 3. Cierre</w:t>
      </w:r>
    </w:p>
    <w:p>
      <w:pPr>
        <w:spacing w:after="60"/>
        <w:ind w:left="340"/>
      </w:pPr>
      <w:r>
        <w:rPr>
          <w:b/>
          <w:sz w:val="20"/>
        </w:rPr>
        <w:t xml:space="preserve">3. Verificar el saldo </w:t>
      </w:r>
      <w:r>
        <w:rPr>
          <w:rFonts w:ascii="Calibri" w:hAnsi="Calibri"/>
          <w:sz w:val="20"/>
        </w:rPr>
        <w:t>· Gerencia Administrativa confirma que el proyecto quedó saldado. Si hay saldo pendiente en el plazo, se escala a Gerencia Comercial y, de persistir, a Dirección General.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Gerencia Administrativa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Saldo cero o escalamiento</w:t>
      </w:r>
    </w:p>
    <w:p>
      <w:pPr>
        <w:spacing w:after="60"/>
        <w:ind w:left="340"/>
      </w:pPr>
      <w:r>
        <w:rPr>
          <w:b/>
          <w:sz w:val="20"/>
        </w:rPr>
        <w:t xml:space="preserve">4. Cerrar por checklist </w:t>
      </w:r>
      <w:r>
        <w:rPr>
          <w:rFonts w:ascii="Calibri" w:hAnsi="Calibri"/>
          <w:sz w:val="20"/>
        </w:rPr>
        <w:t>· Gerencia Administrativa cierra la cobranza por checklist con las evidencias de obra y el expediente completo.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Gerencia Administrativa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Checklist de cierre de cobranza (formato por desarrollar)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8. DIAGRAMA DE FLUJO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88487" cy="684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-ven-05-cobranz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8487" cy="6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95959"/>
          <w:sz w:val="17"/>
        </w:rPr>
        <w:t>Del cobro de los hitos al cierre de cobranza por checklist.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9. REGISTROS Y FORMATOS ASOCIADOS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Código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Formato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Expediente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Expediente de cobranza del proyecto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FOR-VEN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Checklist de cierre de cobranza (formato por desarrollar)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10. CONTROL DE CAMBIOS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22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Versión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571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 del cambio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Elaboró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Calibri" w:hAnsi="Calibri"/>
                <w:b w:val="0"/>
                <w:sz w:val="19"/>
              </w:rPr>
              <w:t>1.0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Septiembre 2026</w:t>
            </w:r>
          </w:p>
        </w:tc>
        <w:tc>
          <w:tcPr>
            <w:tcW w:type="dxa" w:w="5712"/>
          </w:tcPr>
          <w:p>
            <w:r/>
            <w:r>
              <w:rPr>
                <w:rFonts w:ascii="Calibri" w:hAnsi="Calibri"/>
                <w:b w:val="0"/>
                <w:sz w:val="19"/>
              </w:rPr>
              <w:t>Emisión inicial a partir de las Políticas Comerciales v2 y el cierre por checklist de Operaciones. Revisión trimestral.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DETA Consultores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11. CONTROL DE FIRMAS</w:t>
      </w:r>
    </w:p>
    <w:p>
      <w:pPr>
        <w:spacing w:after="12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Elaboró</w:t>
              <w:br/>
              <w:t>DETA Consultores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Revisó</w:t>
              <w:br/>
              <w:t>Gerencia Comercial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Aprobó</w:t>
              <w:br/>
              <w:t>Dirección General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SolarPro · Procedimiento Comercial · PRO-VEN-05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