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Comunicación con el Cliente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PRO-COM-001  ·  Versión 1  ·  08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PRO-COM-001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08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 (revisión anual; por validar con 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Comercial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Comercial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08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del procedimiento de Comunicación con el Cliente, cláusula 8.2.1 de ISO 9001:2015.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Objetivo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Alcance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Definiciones y abreviaturas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Documentos de referencia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Políticas de comunicación con el cliente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Responsabilidades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Puntos de contacto en el flujo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8. Proceso de comunicación con el cliente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9. Manejo de quejas y retroalimentación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10. Banco de speeches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11. Plantillas de cotización y aceptación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12. Registros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Estandarizar la comunicación de SolarPro con el cliente a lo largo de todo el ciclo del servicio, desde el primer contacto hasta la postventa, para asegurar información clara y consistente sobre el sistema y su alcance, la atención de consultas y de cambios en la cotización y el contrato, la obtención de la retroalimentación del cliente incluyendo sus quejas, y el cuidado de la información que el cliente entrega, conforme a la cláusula 8.2.1 de la norma ISO 9001:2015.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toda comunicación con el cliente en la matriz de Chihuahua y en la operación de Ciudad Juárez, para los sectores residencial, comercial e industrial, incluyendo proyectos de gobierno y licitaciones. Cubre las etapas comercial, de ingeniería, de instalación, de encendido y de postventa. Se apoya en el flujo comercial PRO-VEN-01 a PRO-VEN-05 y en la postventa PRO-PVM-01 y PRO-PVM-05, y no los sustituye.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Comunicación con el cliente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Intercambio de información con el cliente en cualquier etapa del ciclo del servicio, conforme a la cláusula 8.2.1 de ISO 9001:2015.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Punto de contacto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Momento del flujo en el que SolarPro se comunica con el cliente, con un canal, un responsable y un registro definidos.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Speed to lead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Tiempo entre el ingreso del lead y el primer contacto; el estándar es menos de 15 minutos.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Precotización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Estimación inicial que se comparte con el cliente antes de la cotización formal.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Cotización formal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Documento de referencia del proyecto con el alcance, el precio y las condiciones; un mensaje de WhatsApp no la sustituye.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Queja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Manifestación de insatisfacción del cliente sobre el servicio o el sistema, que exige respuesta.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Retroalimentación del cliente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Información que el cliente aporta sobre su percepción del servicio, incluyendo quejas, sugerencias y resultados de la encuesta de satisfacción.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Banco de speeches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Conjunto de guiones y plantillas de comunicación estandarizados por etapa y por tipo de cliente.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CRM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Sistema de gestión de leads de SolarPro donde se registra y se da seguimiento a cada oportunidad.</w:t>
            </w:r>
          </w:p>
        </w:tc>
      </w:tr>
      <w:tr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Repositorio único del proyecto donde se documenta su avance y sus registros.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9001:2015, cláusula 8.2.1 Comunicación con el cliente.</w:t>
      </w:r>
    </w:p>
    <w:p>
      <w:pPr>
        <w:pStyle w:val="ListBullet"/>
      </w:pPr>
      <w:r>
        <w:rPr>
          <w:rFonts w:ascii="Calibri" w:hAnsi="Calibri"/>
          <w:sz w:val="20"/>
        </w:rPr>
        <w:t>Manual de Calidad MC-SP-01, secciones 7.4 Comunicación, 8.2 Requisitos del cliente, 8.6 Liberación, 9.1 Satisfacción del cliente y 10.2 No conformidad y acción correctiva.</w:t>
      </w:r>
    </w:p>
    <w:p>
      <w:pPr>
        <w:pStyle w:val="ListBullet"/>
      </w:pPr>
      <w:r>
        <w:rPr>
          <w:rFonts w:ascii="Calibri" w:hAnsi="Calibri"/>
          <w:sz w:val="20"/>
        </w:rPr>
        <w:t>POL-VEN-001 Políticas Comerciales.</w:t>
      </w:r>
    </w:p>
    <w:p>
      <w:pPr>
        <w:pStyle w:val="ListBullet"/>
      </w:pPr>
      <w:r>
        <w:rPr>
          <w:rFonts w:ascii="Calibri" w:hAnsi="Calibri"/>
          <w:sz w:val="20"/>
        </w:rPr>
        <w:t>PRO-VEN-01 Recepción y Calificación de Leads.</w:t>
      </w:r>
    </w:p>
    <w:p>
      <w:pPr>
        <w:pStyle w:val="ListBullet"/>
      </w:pPr>
      <w:r>
        <w:rPr>
          <w:rFonts w:ascii="Calibri" w:hAnsi="Calibri"/>
          <w:sz w:val="20"/>
        </w:rPr>
        <w:t>PRO-VEN-02 Cotización y Precotización.</w:t>
      </w:r>
    </w:p>
    <w:p>
      <w:pPr>
        <w:pStyle w:val="ListBullet"/>
      </w:pPr>
      <w:r>
        <w:rPr>
          <w:rFonts w:ascii="Calibri" w:hAnsi="Calibri"/>
          <w:sz w:val="20"/>
        </w:rPr>
        <w:t>PRO-VEN-03 Cierre, Contrato y Anticipo.</w:t>
      </w:r>
    </w:p>
    <w:p>
      <w:pPr>
        <w:pStyle w:val="ListBullet"/>
      </w:pPr>
      <w:r>
        <w:rPr>
          <w:rFonts w:ascii="Calibri" w:hAnsi="Calibri"/>
          <w:sz w:val="20"/>
        </w:rPr>
        <w:t>PRO-VEN-04 Handoff Comercial a Ingeniería.</w:t>
      </w:r>
    </w:p>
    <w:p>
      <w:pPr>
        <w:pStyle w:val="ListBullet"/>
      </w:pPr>
      <w:r>
        <w:rPr>
          <w:rFonts w:ascii="Calibri" w:hAnsi="Calibri"/>
          <w:sz w:val="20"/>
        </w:rPr>
        <w:t>PRO-VEN-05 Cobranza y Seguimiento.</w:t>
      </w:r>
    </w:p>
    <w:p>
      <w:pPr>
        <w:pStyle w:val="ListBullet"/>
      </w:pPr>
      <w:r>
        <w:rPr>
          <w:rFonts w:ascii="Calibri" w:hAnsi="Calibri"/>
          <w:sz w:val="20"/>
        </w:rPr>
        <w:t>PRO-PVM-01 Recepción de Tickets y Análisis Preliminar.</w:t>
      </w:r>
    </w:p>
    <w:p>
      <w:pPr>
        <w:pStyle w:val="ListBullet"/>
      </w:pPr>
      <w:r>
        <w:rPr>
          <w:rFonts w:ascii="Calibri" w:hAnsi="Calibri"/>
          <w:sz w:val="20"/>
        </w:rPr>
        <w:t>PRO-PVM-05 Garantías y Lecciones Aprendidas.</w:t>
      </w:r>
    </w:p>
    <w:p>
      <w:pPr>
        <w:pStyle w:val="ListBullet"/>
      </w:pPr>
      <w:r>
        <w:rPr>
          <w:rFonts w:ascii="Calibri" w:hAnsi="Calibri"/>
          <w:sz w:val="20"/>
        </w:rPr>
        <w:t>FOR-COM-01 Registro de Quejas y Retroalimentación del Cliente.</w:t>
      </w:r>
    </w:p>
    <w:p>
      <w:pPr>
        <w:pStyle w:val="ListBullet"/>
      </w:pPr>
      <w:r>
        <w:rPr>
          <w:rFonts w:ascii="Calibri" w:hAnsi="Calibri"/>
          <w:sz w:val="20"/>
        </w:rPr>
        <w:t>FOR-PVM-01 Ticket de Postventa, FOR-PVM-02 Concentrado de Evidencias del Cliente y FOR-PVM-04 Determinación de Garantía.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Políticas de comunicación con el cliente</w:t>
      </w:r>
    </w:p>
    <w:p>
      <w:pPr>
        <w:pStyle w:val="ListNumber"/>
      </w:pPr>
      <w:r>
        <w:rPr>
          <w:b/>
          <w:sz w:val="20"/>
        </w:rPr>
        <w:t xml:space="preserve">Primer contacto en 15 minutos. </w:t>
      </w:r>
      <w:r>
        <w:rPr>
          <w:rFonts w:ascii="Calibri" w:hAnsi="Calibri"/>
          <w:sz w:val="20"/>
        </w:rPr>
        <w:t>El primer contacto con un lead se realiza en menos de 15 minutos tras su ingreso, por el canal de origen, conforme a PRO-VEN-01.</w:t>
      </w:r>
    </w:p>
    <w:p>
      <w:pPr>
        <w:pStyle w:val="ListNumber"/>
      </w:pPr>
      <w:r>
        <w:rPr>
          <w:b/>
          <w:sz w:val="20"/>
        </w:rPr>
        <w:t xml:space="preserve">Documento de referencia. </w:t>
      </w:r>
      <w:r>
        <w:rPr>
          <w:rFonts w:ascii="Calibri" w:hAnsi="Calibri"/>
          <w:sz w:val="20"/>
        </w:rPr>
        <w:t>La cotización formal es el documento vinculante del proyecto; un mensaje de WhatsApp no la sustituye, conforme a PRO-VEN-02.</w:t>
      </w:r>
    </w:p>
    <w:p>
      <w:pPr>
        <w:pStyle w:val="ListNumber"/>
      </w:pPr>
      <w:r>
        <w:rPr>
          <w:b/>
          <w:sz w:val="20"/>
        </w:rPr>
        <w:t xml:space="preserve">Aviso en dos tiempos. </w:t>
      </w:r>
      <w:r>
        <w:rPr>
          <w:rFonts w:ascii="Calibri" w:hAnsi="Calibri"/>
          <w:sz w:val="20"/>
        </w:rPr>
        <w:t>El cliente nunca se contacta en frío el día de la visita; Ventas avisa el día anterior e Ingeniería confirma la ventana el día de la visita, conforme a PRO-VEN-04.</w:t>
      </w:r>
    </w:p>
    <w:p>
      <w:pPr>
        <w:pStyle w:val="ListNumber"/>
      </w:pPr>
      <w:r>
        <w:rPr>
          <w:b/>
          <w:sz w:val="20"/>
        </w:rPr>
        <w:t xml:space="preserve">Trazabilidad de la comunicación. </w:t>
      </w:r>
      <w:r>
        <w:rPr>
          <w:rFonts w:ascii="Calibri" w:hAnsi="Calibri"/>
          <w:sz w:val="20"/>
        </w:rPr>
        <w:t>Toda comunicación relevante se registra: los leads y su seguimiento en el CRM, el proyecto en su tarjeta de Trello, y las quejas y la retroalimentación en el FOR-COM-01.</w:t>
      </w:r>
    </w:p>
    <w:p>
      <w:pPr>
        <w:pStyle w:val="ListNumber"/>
      </w:pPr>
      <w:r>
        <w:rPr>
          <w:b/>
          <w:sz w:val="20"/>
        </w:rPr>
        <w:t xml:space="preserve">Toda queja se documenta. </w:t>
      </w:r>
      <w:r>
        <w:rPr>
          <w:rFonts w:ascii="Calibri" w:hAnsi="Calibri"/>
          <w:sz w:val="20"/>
        </w:rPr>
        <w:t>Ninguna queja o falla se atiende sin quedar registrada con folio, para cerrar la brecha de que no toda queja queda documentada, conforme a la sección 10.2 del Manual MC-SP-01.</w:t>
      </w:r>
    </w:p>
    <w:p>
      <w:pPr>
        <w:pStyle w:val="ListNumber"/>
      </w:pPr>
      <w:r>
        <w:rPr>
          <w:b/>
          <w:sz w:val="20"/>
        </w:rPr>
        <w:t xml:space="preserve">Cuidado de la propiedad del cliente. </w:t>
      </w:r>
      <w:r>
        <w:rPr>
          <w:rFonts w:ascii="Calibri" w:hAnsi="Calibri"/>
          <w:sz w:val="20"/>
        </w:rPr>
        <w:t>La información que el cliente entrega en la comunicación, como el recibo de CFE, los accesos, los datos de contacto y los de monitoreo, se protege y se usa solo para el proyecto.</w:t>
      </w:r>
    </w:p>
    <w:p>
      <w:pPr>
        <w:pStyle w:val="ListNumber"/>
      </w:pPr>
      <w:r>
        <w:rPr>
          <w:b/>
          <w:sz w:val="20"/>
        </w:rPr>
        <w:t xml:space="preserve">Una sola voz. </w:t>
      </w:r>
      <w:r>
        <w:rPr>
          <w:rFonts w:ascii="Calibri" w:hAnsi="Calibri"/>
          <w:sz w:val="20"/>
        </w:rPr>
        <w:t>La comunicación con el cliente se apega al banco de speeches y a las plantillas autorizadas, para dar al cliente un interlocutor único y un mensaje consistente.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Responsabilidades en la comunicación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Ejecutivo de Atención al Cliente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Realizar el primer contacto en menos de 15 minutos, calificar, solicitar el recibo de CFE y la ubicación, y sanear el CRM.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Presentar la precotización y la cotización formal, atender consultas y ajustes, negociar, gestionar la firma y dar seguimiento de cobranza.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Autorizar variaciones de precio y condiciones, mantener el banco de speeches y las plantillas, y mediar reasignaciones.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Confirmar la ventana de visita, comunicar los avances técnicos y liberar la instalación con el acta de encendido.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Recibir tickets y quejas, aplicar la encuesta de satisfacción, registrar la retroalimentación y dar respuesta al cliente.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Registrar el anticipo y el expediente, y custodiar la información documentada de la comunicación en el hub.</w:t>
            </w:r>
          </w:p>
        </w:tc>
      </w:tr>
      <w:t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 (Comité de Calidad)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Revisar la satisfacción del cliente y las quejas en la revisión por la dirección, con cadencia trimestral.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Puntos de contacto en el flujo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Cada punto de contacto tiene un canal, un responsable y un registro definidos. La tabla resume los puntos de contacto del ciclo completo del servicio.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Etapa</w:t>
            </w:r>
          </w:p>
        </w:tc>
        <w:tc>
          <w:tcPr>
            <w:tcW w:type="dxa" w:w="25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Punto de contacto</w:t>
            </w:r>
          </w:p>
        </w:tc>
        <w:tc>
          <w:tcPr>
            <w:tcW w:type="dxa" w:w="16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Canal</w:t>
            </w:r>
          </w:p>
        </w:tc>
        <w:tc>
          <w:tcPr>
            <w:tcW w:type="dxa" w:w="22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17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Registro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Recepción del lead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Primer contacto en menos de 15 minutos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WhatsApp, web, redes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Ejecutivo de Atención al Cliente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CRM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Calificación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Solicitud del recibo de CFE y la ubicación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WhatsApp, llamada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Ejecutivo de Atención al Cliente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CRM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Precotización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Presentación de la precotización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WhatsApp, correo, reunión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CRM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Cotización formal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Envío de la cotización formal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Correo, reunión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Cotización, Trello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Cierre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Negociación y firma del contrato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Reunión, correo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Contrato CON-MER-001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Handoff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Aviso en dos tiempos y confirmación de visita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Llamada, WhatsApp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Ventas e Ingeniería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Ejecución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Avances de instalación y encendido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WhatsApp, llamada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Cobranza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Recordatorio por hito 30-50-20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Llamada, correo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Producto, Gerencia Administrativa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Expediente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Entrega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Acta de encendido o de conformidad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En sitio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Acta de encendido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Recepción de tickets y encuesta de satisfacción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WhatsApp, llamada, correo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FOR-PVM-01, encuesta</w:t>
            </w:r>
          </w:p>
        </w:tc>
      </w:tr>
      <w:tr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Queja o retroalimentación</w:t>
            </w:r>
          </w:p>
        </w:tc>
        <w:tc>
          <w:tcPr>
            <w:tcW w:type="dxa" w:w="2593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la queja o la retroalimentación</w:t>
            </w:r>
          </w:p>
        </w:tc>
        <w:tc>
          <w:tcPr>
            <w:tcW w:type="dxa" w:w="1695"/>
          </w:tcPr>
          <w:p>
            <w:r/>
            <w:r>
              <w:rPr>
                <w:rFonts w:ascii="Calibri" w:hAnsi="Calibri"/>
                <w:b w:val="0"/>
                <w:sz w:val="19"/>
              </w:rPr>
              <w:t>Cualquier canal</w:t>
            </w:r>
          </w:p>
        </w:tc>
        <w:tc>
          <w:tcPr>
            <w:tcW w:type="dxa" w:w="229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FOR-COM-01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números de WhatsApp, cuentas de correo y demás canales oficiales de contacto por etapa, para publicarlos como directorio de comunicación del cliente.]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Proceso de comunicación con el cliente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proceso cubre las cinco líneas de comunicación con el cliente de la cláusula 8.2.1: la información sobre los productos y servicios; la atención de consultas, contratos y pedidos, incluidos sus cambios; la obtención de la retroalimentación del cliente, incluidas las quejas; el manejo de la propiedad del cliente; y las acciones de contingencia cuando corresponda.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8.1 Información sobre los productos y servicios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SolarPro comunica al cliente, desde el primer contacto, en qué consiste la solución: el diseño e instalación del sistema solar fotovoltaico resuelto dentro de una sola empresa, que incluye la propuesta comercial, la ingeniería, la instalación, el encendido, la tramitología ante CFE y la postventa, además de las opciones de financiamiento. La información sobre el alcance, la producción estimada, el ahorro, los tiempos y las garantías se apoya en PRO-VEN-01 y PRO-VEN-02.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8.2 Cotización, precotización y ajustes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atención de la solicitud del cliente y sus ajustes sigue el procedimiento PRO-VEN-02:</w:t>
      </w:r>
    </w:p>
    <w:p>
      <w:pPr>
        <w:pStyle w:val="ListNumber"/>
      </w:pPr>
      <w:r>
        <w:rPr>
          <w:b/>
          <w:sz w:val="20"/>
        </w:rPr>
        <w:t xml:space="preserve">Recibir el recibo de CFE y los datos. </w:t>
      </w:r>
      <w:r>
        <w:rPr>
          <w:rFonts w:ascii="Calibri" w:hAnsi="Calibri"/>
          <w:sz w:val="20"/>
        </w:rPr>
        <w:t>Solicitar el recibo de CFE, la ubicación, el tipo de prospecto y las necesidades del cliente.</w:t>
      </w:r>
    </w:p>
    <w:p>
      <w:pPr>
        <w:pStyle w:val="ListNumber"/>
      </w:pPr>
      <w:r>
        <w:rPr>
          <w:b/>
          <w:sz w:val="20"/>
        </w:rPr>
        <w:t xml:space="preserve">Dimensionar y precotizar. </w:t>
      </w:r>
      <w:r>
        <w:rPr>
          <w:rFonts w:ascii="Calibri" w:hAnsi="Calibri"/>
          <w:sz w:val="20"/>
        </w:rPr>
        <w:t>Dimensionar el sistema y elaborar la precotización en Control Sun.</w:t>
      </w:r>
    </w:p>
    <w:p>
      <w:pPr>
        <w:pStyle w:val="ListNumber"/>
      </w:pPr>
      <w:r>
        <w:rPr>
          <w:b/>
          <w:sz w:val="20"/>
        </w:rPr>
        <w:t xml:space="preserve">Presentar la precotización. </w:t>
      </w:r>
      <w:r>
        <w:rPr>
          <w:rFonts w:ascii="Calibri" w:hAnsi="Calibri"/>
          <w:sz w:val="20"/>
        </w:rPr>
        <w:t>Compartir la precotización con el cliente y resolver sus dudas.</w:t>
      </w:r>
    </w:p>
    <w:p>
      <w:pPr>
        <w:pStyle w:val="ListNumber"/>
      </w:pPr>
      <w:r>
        <w:rPr>
          <w:b/>
          <w:sz w:val="20"/>
        </w:rPr>
        <w:t xml:space="preserve">Registrar la respuesta. </w:t>
      </w:r>
      <w:r>
        <w:rPr>
          <w:rFonts w:ascii="Calibri" w:hAnsi="Calibri"/>
          <w:sz w:val="20"/>
        </w:rPr>
        <w:t>Si el cliente acepta, crear la tarjeta de Trello; si no acepta, registrar el motivo en el CRM y dar seguimiento o cerrar.</w:t>
      </w:r>
    </w:p>
    <w:p>
      <w:pPr>
        <w:pStyle w:val="ListNumber"/>
      </w:pPr>
      <w:r>
        <w:rPr>
          <w:b/>
          <w:sz w:val="20"/>
        </w:rPr>
        <w:t xml:space="preserve">Emitir la cotización formal. </w:t>
      </w:r>
      <w:r>
        <w:rPr>
          <w:rFonts w:ascii="Calibri" w:hAnsi="Calibri"/>
          <w:sz w:val="20"/>
        </w:rPr>
        <w:t>Emitir la cotización formal como documento de referencia del proyecto.</w:t>
      </w:r>
    </w:p>
    <w:p>
      <w:pPr>
        <w:pStyle w:val="ListNumber"/>
      </w:pPr>
      <w:r>
        <w:rPr>
          <w:b/>
          <w:sz w:val="20"/>
        </w:rPr>
        <w:t xml:space="preserve">Comunicar ajustes. </w:t>
      </w:r>
      <w:r>
        <w:rPr>
          <w:rFonts w:ascii="Calibri" w:hAnsi="Calibri"/>
          <w:sz w:val="20"/>
        </w:rPr>
        <w:t>Comunicar al cliente cualquier ajuste de alcance, equipo o precio; toda variación de precio o condiciones requiere la autorización de Gerencia Comercial.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El precio de la cotización formal puede congelarse durante el primer mes; toda variación posterior requiere autorización de Gerencia Comercial.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8.3 Consultas, contrato y aceptación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cierre y la aceptación de los requisitos siguen PRO-VEN-03: negociar por el valor de la solución, formalizar la aceptación con la firma del contrato por ambas partes, cobrar el anticipo del enganche del 30 por ciento y detonar el proyecto. Cualquier cambio en el alcance o en las condiciones después de la firma se comunica al cliente, se autoriza por Gerencia Comercial y se refleja en la cotización o el contrato antes de continuar.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8.4 Comunicación durante la ejecución y la entrega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traspaso a Ingeniería se comunica al cliente en dos tiempos, conforme a PRO-VEN-04: Ventas avisa el día anterior e Ingeniería confirma la ventana el día de la visita, sin contacto en frío. Durante la instalación y el encendido, los avances se comunican por WhatsApp o llamada y se documentan en Trello. La cobranza por hitos del esquema 30-50-20 se comunica conforme a PRO-VEN-05. La entrega se cierra con el acta de encendido o de conformidad, que libera la instalación.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8.5 Retroalimentación del cliente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SolarPro obtiene la retroalimentación del cliente por tres vías: la encuesta de satisfacción de postventa, cuyo objetivo de calidad es una satisfacción igual o mayor al 90 por ciento; el contacto directo del cliente por cualquier canal; y el registro de quejas y retroalimentación FOR-COM-01. La retroalimentación alimenta la evaluación del desempeño y la mejora, conforme a las secciones 9.1 y 10 del Manual MC-SP-01.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8.6 Propiedad del cliente en la comunicación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información que el cliente entrega durante la comunicación, como el recibo de CFE, los accesos, los datos de contacto y los de monitoreo, es propiedad del cliente. Se protege, se conserva en el repositorio del proyecto y se usa solo para su atención, conforme a la sección 8.5 del Manual MC-SP-01.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8.7 Acciones de contingencia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Cuando la comunicación habitual no está disponible, SolarPro mantiene un canal alterno para no perder el contacto con el cliente ni la trazabilidad del proyecto.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definir las acciones de contingencia de comunicación, por ejemplo el canal alterno ante indisponibilidad de WhatsApp o del CRM, y el protocolo de aviso al cliente ante una emergencia en sitio.]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9. Manejo de quejas y retroalimentación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manejo de quejas asegura que toda manifestación del cliente quede documentada, se atienda y se cierre, y que las quejas recurrentes retroalimenten al proceso. Se apoya en PRO-PVM-01 para los casos técnicos y en la sección 10.2 del Manual MC-SP-01.</w:t>
      </w:r>
    </w:p>
    <w:p>
      <w:pPr>
        <w:pStyle w:val="ListNumber"/>
      </w:pPr>
      <w:r>
        <w:rPr>
          <w:b/>
          <w:sz w:val="20"/>
        </w:rPr>
        <w:t xml:space="preserve">Recibir y canalizar. </w:t>
      </w:r>
      <w:r>
        <w:rPr>
          <w:rFonts w:ascii="Calibri" w:hAnsi="Calibri"/>
          <w:sz w:val="20"/>
        </w:rPr>
        <w:t>Cualquier colaborador que reciba una queja la canaliza a Postventa, que la registra en el FOR-COM-01 con un folio.</w:t>
      </w:r>
    </w:p>
    <w:p>
      <w:pPr>
        <w:pStyle w:val="ListNumber"/>
      </w:pPr>
      <w:r>
        <w:rPr>
          <w:b/>
          <w:sz w:val="20"/>
        </w:rPr>
        <w:t xml:space="preserve">Acusar recibo. </w:t>
      </w:r>
      <w:r>
        <w:rPr>
          <w:rFonts w:ascii="Calibri" w:hAnsi="Calibri"/>
          <w:sz w:val="20"/>
        </w:rPr>
        <w:t>Acusar recibo al cliente e informarle el folio y el responsable de seguimiento.</w:t>
      </w:r>
    </w:p>
    <w:p>
      <w:pPr>
        <w:pStyle w:val="ListNumber"/>
      </w:pPr>
      <w:r>
        <w:rPr>
          <w:b/>
          <w:sz w:val="20"/>
        </w:rPr>
        <w:t xml:space="preserve">Clasificar. </w:t>
      </w:r>
      <w:r>
        <w:rPr>
          <w:rFonts w:ascii="Calibri" w:hAnsi="Calibri"/>
          <w:sz w:val="20"/>
        </w:rPr>
        <w:t>Clasificar la manifestación como técnica, es decir una falla, o no técnica, por ejemplo de trato, de tiempos o administrativa.</w:t>
      </w:r>
    </w:p>
    <w:p>
      <w:pPr>
        <w:pStyle w:val="ListNumber"/>
      </w:pPr>
      <w:r>
        <w:rPr>
          <w:b/>
          <w:sz w:val="20"/>
        </w:rPr>
        <w:t xml:space="preserve">Analizar. </w:t>
      </w:r>
      <w:r>
        <w:rPr>
          <w:rFonts w:ascii="Calibri" w:hAnsi="Calibri"/>
          <w:sz w:val="20"/>
        </w:rPr>
        <w:t>Para los casos técnicos, levantar el ticket PRO-PVM-01, solicitar el concentrado de evidencias FOR-PVM-02 y determinar la garantía con FOR-PVM-04; para los no técnicos, identificar la causa con el área que corresponda.</w:t>
      </w:r>
    </w:p>
    <w:p>
      <w:pPr>
        <w:pStyle w:val="ListNumber"/>
      </w:pPr>
      <w:r>
        <w:rPr>
          <w:b/>
          <w:sz w:val="20"/>
        </w:rPr>
        <w:t xml:space="preserve">Resolver y responder. </w:t>
      </w:r>
      <w:r>
        <w:rPr>
          <w:rFonts w:ascii="Calibri" w:hAnsi="Calibri"/>
          <w:sz w:val="20"/>
        </w:rPr>
        <w:t>Resolver la queja y dar respuesta al cliente dentro del plazo comprometido.</w:t>
      </w:r>
    </w:p>
    <w:p>
      <w:pPr>
        <w:pStyle w:val="ListNumber"/>
      </w:pPr>
      <w:r>
        <w:rPr>
          <w:b/>
          <w:sz w:val="20"/>
        </w:rPr>
        <w:t xml:space="preserve">Cerrar y verificar. </w:t>
      </w:r>
      <w:r>
        <w:rPr>
          <w:rFonts w:ascii="Calibri" w:hAnsi="Calibri"/>
          <w:sz w:val="20"/>
        </w:rPr>
        <w:t>Cerrar la queja en el FOR-COM-01 y verificar la satisfacción del cliente con la solución.</w:t>
      </w:r>
    </w:p>
    <w:p>
      <w:pPr>
        <w:pStyle w:val="ListNumber"/>
      </w:pPr>
      <w:r>
        <w:rPr>
          <w:b/>
          <w:sz w:val="20"/>
        </w:rPr>
        <w:t xml:space="preserve">Retroalimentar al proceso. </w:t>
      </w:r>
      <w:r>
        <w:rPr>
          <w:rFonts w:ascii="Calibri" w:hAnsi="Calibri"/>
          <w:sz w:val="20"/>
        </w:rPr>
        <w:t>Escalar las quejas recurrentes al análisis de causa raíz y a las lecciones aprendidas de PRO-PVM-05, para retroalimentar a Ingeniería y al proceso troncal SOL-PROC-001.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Las quejas técnicas se atienden como ticket de postventa; el FOR-COM-01 conserva el registro de la queja y enlaza el ticket FOR-PVM-01 correspondiente.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el plazo de acuse de la queja, el plazo de resolución de la queja no técnica, la persona designada como responsable del registro de quejas y el indicador de quejas, por ejemplo el número de quejas y el tiempo de respuesta, adicional al objetivo de satisfacción igual o mayor al 90 por ciento.]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10. Banco de speeches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banco de speeches estandariza la comunicación por etapa. Los textos son plantillas genéricas del giro; el texto entre corchetes se sustituye por el dato de cada caso. Se adaptan al tono del cliente sin cambiar el mensaje central.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Primer contacto (menos de 15 minutos)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Hola [nombre], le saluda [nombre del ejecutivo] de SolarPro. Recibimos su interés en un sistema solar. Para prepararle una primera estimación de ahorro sin costo, me apoya con su recibo de CFE más reciente y la ubicación del inmueble.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Presentación de la precotización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[nombre], con su consumo preparé una primera estimación: un sistema de [tamaño] que cubre alrededor del [porcentaje] de su consumo, con una inversión aproximada de [monto]. Es una precotización; la cotización formal detalla el alcance, el equipo y las condiciones. Si le parece, la afinamos juntos.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Envío de la cotización formal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[nombre], le comparto su cotización formal. Es el documento de referencia del proyecto: incluye el alcance, el sistema dimensionado, el precio, el esquema de pago 30-50-20 y las condiciones. Con gusto la revisamos punto por punto.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Seguimiento sin respuesta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[nombre], le doy seguimiento a su cotización. Sigo a sus órdenes para resolver cualquier duda sobre el sistema, el ahorro o las formas de pago. Recuerde que podemos mantener el precio durante el primer mes.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Manejo de la objeción de precio (venta por valor)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Entiendo la comparación de precio. En SolarPro resolvemos el proyecto completo en una sola empresa: ingeniería, instalación, trámite ante CFE y postventa, con garantía de 2 años por la instalación y de 5 años del proveedor por el equipo. Usted recibe un sistema funcionando y un interlocutor único, no un conjunto de proveedores sueltos que coordinar.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Cierre y firma del contrato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[nombre], me da mucho gusto avanzar. Con la firma del contrato formalizamos su proyecto y, con el anticipo del enganche del 30 por ciento, lo detonamos: arrancamos el dimensionamiento, el render y los trámites. Le explico cada punto antes de firmar.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Aviso de visita en dos tiempos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Aviso el día anterior: [nombre], le confirmo que mañana [fecha] nuestro equipo de Ingeniería realizará la visita. Mañana temprano le confirmamos la ventana de horario. Confirmación el día de la visita: [nombre], confirmamos la visita hoy entre [hora] y [hora]; nuestro equipo se identifica al llegar.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Recordatorio de cobranza por hito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[nombre], su proyecto avanza al hito de [instalación o encendido]. Conforme al esquema 30-50-20 acordado, corresponde el pago del [porcentaje]. Le comparto los datos y quedo al pendiente de cualquier aclaración.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Acuse de una queja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[nombre], recibimos su reporte y lo registramos con el folio [folio]. Un especialista de Postventa dará seguimiento. Para agilizar el análisis, me apoya con las evidencias del formato que le comparto.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Invitación a la encuesta de satisfacción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[nombre], su instalación quedó concluida. Nos apoya con una breve encuesta de satisfacción. Su opinión nos ayuda a mejorar y a atender mejor a más familias y empresas.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el tono definitivo, las promociones vigentes, los plazos de garantía a citar y los datos oficiales de contacto. Gerencia Comercial mantiene la versión vigente del banco de speeches.]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11. Plantillas de cotización y aceptación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Plantilla de cotización formal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cotización formal se genera en Control Sun, que incorpora candados de producto, marca y precio, y el filtro de administración por política de stock. Su estructura mínima es:</w:t>
      </w:r>
    </w:p>
    <w:p>
      <w:pPr>
        <w:pStyle w:val="ListBullet"/>
      </w:pPr>
      <w:r>
        <w:rPr>
          <w:rFonts w:ascii="Calibri" w:hAnsi="Calibri"/>
          <w:sz w:val="20"/>
        </w:rPr>
        <w:t>Encabezado: nombre del cliente, fecha, folio y vigencia de la cotización.</w:t>
      </w:r>
    </w:p>
    <w:p>
      <w:pPr>
        <w:pStyle w:val="ListBullet"/>
      </w:pPr>
      <w:r>
        <w:rPr>
          <w:rFonts w:ascii="Calibri" w:hAnsi="Calibri"/>
          <w:sz w:val="20"/>
        </w:rPr>
        <w:t>Alcance del sistema: potencia, número de paneles, inversor, estructura y tipo de instalación.</w:t>
      </w:r>
    </w:p>
    <w:p>
      <w:pPr>
        <w:pStyle w:val="ListBullet"/>
      </w:pPr>
      <w:r>
        <w:rPr>
          <w:rFonts w:ascii="Calibri" w:hAnsi="Calibri"/>
          <w:sz w:val="20"/>
        </w:rPr>
        <w:t>Producción y ahorro estimados.</w:t>
      </w:r>
    </w:p>
    <w:p>
      <w:pPr>
        <w:pStyle w:val="ListBullet"/>
      </w:pPr>
      <w:r>
        <w:rPr>
          <w:rFonts w:ascii="Calibri" w:hAnsi="Calibri"/>
          <w:sz w:val="20"/>
        </w:rPr>
        <w:t>Precio y esquema de pago 30-50-20.</w:t>
      </w:r>
    </w:p>
    <w:p>
      <w:pPr>
        <w:pStyle w:val="ListBullet"/>
      </w:pPr>
      <w:r>
        <w:rPr>
          <w:rFonts w:ascii="Calibri" w:hAnsi="Calibri"/>
          <w:sz w:val="20"/>
        </w:rPr>
        <w:t>Vigencia y congelamiento de precio durante el primer mes.</w:t>
      </w:r>
    </w:p>
    <w:p>
      <w:pPr>
        <w:pStyle w:val="ListBullet"/>
      </w:pPr>
      <w:r>
        <w:rPr>
          <w:rFonts w:ascii="Calibri" w:hAnsi="Calibri"/>
          <w:sz w:val="20"/>
        </w:rPr>
        <w:t>Condiciones, exclusiones y tiempos de entrega.</w:t>
      </w:r>
    </w:p>
    <w:p>
      <w:pPr>
        <w:pStyle w:val="ListBullet"/>
      </w:pPr>
      <w:r>
        <w:rPr>
          <w:rFonts w:ascii="Calibri" w:hAnsi="Calibri"/>
          <w:sz w:val="20"/>
        </w:rPr>
        <w:t>Datos de contacto y espacio de aceptación del cliente.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Plantilla de aceptación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aceptación de la precotización por el cliente detona la creación de la tarjeta de Trello. La aceptación formal de los requisitos se ejerce con la firma del contrato CON-MER-001 por ambas partes, conforme a PRO-VEN-03. La plantilla de aceptación deja constancia de: el cliente, la cotización aceptada y su folio, el alcance y el precio aceptados, el esquema de pago, la fecha y la firma.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la plantilla oficial de cotización de Control Sun y el poder de firma que la Dirección define para el contrato CON-MER-001.]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12. Registros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columna Código o sistema distingue el documento controlado del SGC, cuando existe, del sistema donde vive el registro cuando este no lleva código de documento, como el CRM, Control Sun o Trello.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339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Registro</w:t>
            </w:r>
          </w:p>
        </w:tc>
        <w:tc>
          <w:tcPr>
            <w:tcW w:type="dxa" w:w="17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 o sistema</w:t>
            </w:r>
          </w:p>
        </w:tc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17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Medio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lead y seguimiento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CRM (sistema)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Ejecutivo de Atención al Cliente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CRM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Cotización formal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Sun (sistema)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Tarjeta del proyecto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 (sistema)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Contrato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CON-MER-001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Especialista de Producto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Expediente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de quejas y retroalimentación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FOR-COM-01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Trello, hub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Ticket de postventa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FOR-PVM-01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</w:tr>
      <w:t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 de satisfacción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Pendiente por crear</w:t>
            </w:r>
          </w:p>
        </w:tc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Trello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asignar un código controlado al formato de encuesta de satisfacción, hoy sin código en el SGC; Postventa lo emite como formato del sistema, por ejemplo un futuro FOR-PVM, antes de liberar este procedimiento.]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SolarPro: los tiempos de conservación de cada registro para el control de la información documentada, conforme a la sección 7.5 del Manual MC-SP-01.]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Comercial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Comunicación con el Cliente · PRO-COM-001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