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drawing>
          <wp:inline xmlns:a="http://schemas.openxmlformats.org/drawingml/2006/main" xmlns:pic="http://schemas.openxmlformats.org/drawingml/2006/picture">
            <wp:extent cx="2340000" cy="768857"/>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2340000" cy="768857"/>
                    </a:xfrm>
                    <a:prstGeom prst="rect"/>
                  </pic:spPr>
                </pic:pic>
              </a:graphicData>
            </a:graphic>
          </wp:inline>
        </w:drawing>
      </w:r>
    </w:p>
    <w:p>
      <w:pPr>
        <w:spacing w:before="800"/>
        <w:jc w:val="center"/>
      </w:pPr>
      <w:r>
        <w:rPr>
          <w:rFonts w:ascii="Calibri" w:hAnsi="Calibri"/>
          <w:b/>
          <w:color w:val="595959"/>
          <w:sz w:val="22"/>
        </w:rPr>
        <w:t>SISTEMA DE GESTIÓN DE CALIDAD ISO 9001:2015</w:t>
      </w:r>
    </w:p>
    <w:p>
      <w:pPr>
        <w:spacing w:before="120" w:after="40"/>
        <w:jc w:val="center"/>
      </w:pPr>
      <w:r>
        <w:rPr>
          <w:rFonts w:ascii="Georgia" w:hAnsi="Georgia"/>
          <w:b/>
          <w:color w:val="0056B4"/>
          <w:sz w:val="60"/>
        </w:rPr>
        <w:t>Control de cambios</w:t>
      </w:r>
    </w:p>
    <w:p>
      <w:pPr>
        <w:jc w:val="center"/>
      </w:pPr>
      <w:r>
        <w:rPr>
          <w:color w:val="F0E528"/>
          <w:sz w:val="24"/>
        </w:rPr>
        <w:t>________</w:t>
      </w:r>
    </w:p>
    <w:p>
      <w:pPr>
        <w:jc w:val="center"/>
      </w:pPr>
      <w:r>
        <w:rPr>
          <w:rFonts w:ascii="Georgia" w:hAnsi="Georgia"/>
          <w:i/>
          <w:color w:val="595959"/>
          <w:sz w:val="26"/>
        </w:rPr>
        <w:t>SolarPro · Sistema de Gestión de Calidad ISO 9001:2015</w:t>
      </w:r>
    </w:p>
    <w:p>
      <w:pPr>
        <w:spacing w:before="600"/>
        <w:jc w:val="center"/>
      </w:pPr>
      <w:r>
        <w:rPr>
          <w:b/>
          <w:color w:val="1C242E"/>
          <w:sz w:val="22"/>
        </w:rPr>
        <w:t>Soluciones Energéticas JEA S.A. de C.V. (SolarPro)</w:t>
      </w:r>
    </w:p>
    <w:p>
      <w:pPr>
        <w:jc w:val="center"/>
      </w:pPr>
      <w:r>
        <w:rPr>
          <w:color w:val="595959"/>
          <w:sz w:val="20"/>
        </w:rPr>
        <w:t>PRO-CAM-001  ·  Versión 1  ·  17 de septiembre de 2026</w:t>
      </w:r>
    </w:p>
    <w:p>
      <w:pPr>
        <w:spacing w:before="120"/>
        <w:jc w:val="center"/>
      </w:pPr>
      <w:r>
        <w:rPr>
          <w:color w:val="595959"/>
          <w:sz w:val="18"/>
        </w:rPr>
        <w:t>Elaboró DETA Consultores</w:t>
      </w:r>
    </w:p>
    <w:p>
      <w:pPr>
        <w:jc w:val="center"/>
      </w:pPr>
      <w:r>
        <w:rPr>
          <w:i/>
          <w:color w:val="595959"/>
          <w:sz w:val="18"/>
        </w:rPr>
        <w:t>Borrador para validación</w:t>
      </w:r>
    </w:p>
    <w:p>
      <w:r>
        <w:br w:type="page"/>
      </w:r>
    </w:p>
    <w:p>
      <w:pPr>
        <w:keepNext/>
        <w:spacing w:before="280" w:after="80"/>
        <w:pBdr>
          <w:bottom w:val="single" w:sz="8" w:color="F0E528"/>
        </w:pBdr>
      </w:pPr>
      <w:r>
        <w:rPr>
          <w:rFonts w:ascii="Georgia" w:hAnsi="Georgia"/>
          <w:b/>
          <w:color w:val="0056B4"/>
          <w:sz w:val="26"/>
        </w:rPr>
        <w:t>CONTROL DEL DOCUMENTO</w:t>
      </w:r>
    </w:p>
    <w:tbl>
      <w:tblPr>
        <w:tblW w:type="auto" w:w="0"/>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4986"/>
        <w:gridCol w:w="4986"/>
      </w:tblGrid>
      <w:tr>
        <w:tc>
          <w:tcPr>
            <w:tcW w:type="dxa" w:w="3191"/>
            <w:shd w:val="clear" w:fill="F2F2F2"/>
          </w:tcPr>
          <w:p>
            <w:r/>
            <w:r>
              <w:rPr>
                <w:rFonts w:ascii="Calibri" w:hAnsi="Calibri"/>
                <w:b/>
                <w:sz w:val="18"/>
              </w:rPr>
              <w:t>Código</w:t>
            </w:r>
          </w:p>
        </w:tc>
        <w:tc>
          <w:tcPr>
            <w:tcW w:type="dxa" w:w="6781"/>
          </w:tcPr>
          <w:p>
            <w:r/>
            <w:r>
              <w:rPr>
                <w:rFonts w:ascii="Calibri" w:hAnsi="Calibri"/>
                <w:b w:val="0"/>
                <w:sz w:val="18"/>
              </w:rPr>
              <w:t>PRO-CAM-001</w:t>
            </w:r>
          </w:p>
        </w:tc>
      </w:tr>
      <w:tr>
        <w:tc>
          <w:tcPr>
            <w:tcW w:type="dxa" w:w="3191"/>
            <w:shd w:val="clear" w:fill="F2F2F2"/>
          </w:tcPr>
          <w:p>
            <w:r/>
            <w:r>
              <w:rPr>
                <w:rFonts w:ascii="Calibri" w:hAnsi="Calibri"/>
                <w:b/>
                <w:sz w:val="18"/>
              </w:rPr>
              <w:t>Versión</w:t>
            </w:r>
          </w:p>
        </w:tc>
        <w:tc>
          <w:tcPr>
            <w:tcW w:type="dxa" w:w="6781"/>
          </w:tcPr>
          <w:p>
            <w:r/>
            <w:r>
              <w:rPr>
                <w:rFonts w:ascii="Calibri" w:hAnsi="Calibri"/>
                <w:b w:val="0"/>
                <w:sz w:val="18"/>
              </w:rPr>
              <w:t>1</w:t>
            </w:r>
          </w:p>
        </w:tc>
      </w:tr>
      <w:tr>
        <w:tc>
          <w:tcPr>
            <w:tcW w:type="dxa" w:w="3191"/>
            <w:shd w:val="clear" w:fill="F2F2F2"/>
          </w:tcPr>
          <w:p>
            <w:r/>
            <w:r>
              <w:rPr>
                <w:rFonts w:ascii="Calibri" w:hAnsi="Calibri"/>
                <w:b/>
                <w:sz w:val="18"/>
              </w:rPr>
              <w:t>Estado</w:t>
            </w:r>
          </w:p>
        </w:tc>
        <w:tc>
          <w:tcPr>
            <w:tcW w:type="dxa" w:w="6781"/>
          </w:tcPr>
          <w:p>
            <w:r/>
            <w:r>
              <w:rPr>
                <w:rFonts w:ascii="Calibri" w:hAnsi="Calibri"/>
                <w:b w:val="0"/>
                <w:sz w:val="18"/>
              </w:rPr>
              <w:t>Borrador para validación</w:t>
            </w:r>
          </w:p>
        </w:tc>
      </w:tr>
      <w:tr>
        <w:tc>
          <w:tcPr>
            <w:tcW w:type="dxa" w:w="3191"/>
            <w:shd w:val="clear" w:fill="F2F2F2"/>
          </w:tcPr>
          <w:p>
            <w:r/>
            <w:r>
              <w:rPr>
                <w:rFonts w:ascii="Calibri" w:hAnsi="Calibri"/>
                <w:b/>
                <w:sz w:val="18"/>
              </w:rPr>
              <w:t>Fecha de emisión</w:t>
            </w:r>
          </w:p>
        </w:tc>
        <w:tc>
          <w:tcPr>
            <w:tcW w:type="dxa" w:w="6781"/>
          </w:tcPr>
          <w:p>
            <w:r/>
            <w:r>
              <w:rPr>
                <w:rFonts w:ascii="Calibri" w:hAnsi="Calibri"/>
                <w:b w:val="0"/>
                <w:sz w:val="18"/>
              </w:rPr>
              <w:t>17 de septiembre de 2026</w:t>
            </w:r>
          </w:p>
        </w:tc>
      </w:tr>
      <w:tr>
        <w:tc>
          <w:tcPr>
            <w:tcW w:type="dxa" w:w="3191"/>
            <w:shd w:val="clear" w:fill="F2F2F2"/>
          </w:tcPr>
          <w:p>
            <w:r/>
            <w:r>
              <w:rPr>
                <w:rFonts w:ascii="Calibri" w:hAnsi="Calibri"/>
                <w:b/>
                <w:sz w:val="18"/>
              </w:rPr>
              <w:t>Fecha de revisión</w:t>
            </w:r>
          </w:p>
        </w:tc>
        <w:tc>
          <w:tcPr>
            <w:tcW w:type="dxa" w:w="6781"/>
          </w:tcPr>
          <w:p>
            <w:r/>
            <w:r>
              <w:rPr>
                <w:rFonts w:ascii="Calibri" w:hAnsi="Calibri"/>
                <w:b w:val="0"/>
                <w:sz w:val="18"/>
              </w:rPr>
              <w:t>Septiembre 2027</w:t>
            </w:r>
          </w:p>
        </w:tc>
      </w:tr>
      <w:tr>
        <w:tc>
          <w:tcPr>
            <w:tcW w:type="dxa" w:w="3191"/>
            <w:shd w:val="clear" w:fill="F2F2F2"/>
          </w:tcPr>
          <w:p>
            <w:r/>
            <w:r>
              <w:rPr>
                <w:rFonts w:ascii="Calibri" w:hAnsi="Calibri"/>
                <w:b/>
                <w:sz w:val="18"/>
              </w:rPr>
              <w:t>Custodio del documento</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Elabora</w:t>
            </w:r>
          </w:p>
        </w:tc>
        <w:tc>
          <w:tcPr>
            <w:tcW w:type="dxa" w:w="6781"/>
          </w:tcPr>
          <w:p>
            <w:r/>
            <w:r>
              <w:rPr>
                <w:rFonts w:ascii="Calibri" w:hAnsi="Calibri"/>
                <w:b w:val="0"/>
                <w:sz w:val="18"/>
              </w:rPr>
              <w:t>DETA Consultores</w:t>
            </w:r>
          </w:p>
        </w:tc>
      </w:tr>
      <w:tr>
        <w:tc>
          <w:tcPr>
            <w:tcW w:type="dxa" w:w="3191"/>
            <w:shd w:val="clear" w:fill="F2F2F2"/>
          </w:tcPr>
          <w:p>
            <w:r/>
            <w:r>
              <w:rPr>
                <w:rFonts w:ascii="Calibri" w:hAnsi="Calibri"/>
                <w:b/>
                <w:sz w:val="18"/>
              </w:rPr>
              <w:t>Revisa</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Aprueba</w:t>
            </w:r>
          </w:p>
        </w:tc>
        <w:tc>
          <w:tcPr>
            <w:tcW w:type="dxa" w:w="6781"/>
          </w:tcPr>
          <w:p>
            <w:r/>
            <w:r>
              <w:rPr>
                <w:rFonts w:ascii="Calibri" w:hAnsi="Calibri"/>
                <w:b w:val="0"/>
                <w:sz w:val="18"/>
              </w:rPr>
              <w:t>Dirección General</w:t>
            </w:r>
          </w:p>
        </w:tc>
      </w:tr>
      <w:tr>
        <w:tc>
          <w:tcPr>
            <w:tcW w:type="dxa" w:w="3191"/>
            <w:shd w:val="clear" w:fill="F2F2F2"/>
          </w:tcPr>
          <w:p>
            <w:r/>
            <w:r>
              <w:rPr>
                <w:rFonts w:ascii="Calibri" w:hAnsi="Calibri"/>
                <w:b/>
                <w:sz w:val="18"/>
              </w:rPr>
              <w:t>Clasificación</w:t>
            </w:r>
          </w:p>
        </w:tc>
        <w:tc>
          <w:tcPr>
            <w:tcW w:type="dxa" w:w="6781"/>
          </w:tcPr>
          <w:p>
            <w:r/>
            <w:r>
              <w:rPr>
                <w:rFonts w:ascii="Calibri" w:hAnsi="Calibri"/>
                <w:b w:val="0"/>
                <w:sz w:val="18"/>
              </w:rPr>
              <w:t>Interno</w:t>
            </w:r>
          </w:p>
        </w:tc>
      </w:tr>
      <w:tr>
        <w:tc>
          <w:tcPr>
            <w:tcW w:type="dxa" w:w="3191"/>
            <w:shd w:val="clear" w:fill="F2F2F2"/>
          </w:tcPr>
          <w:p>
            <w:r/>
            <w:r>
              <w:rPr>
                <w:rFonts w:ascii="Calibri" w:hAnsi="Calibri"/>
                <w:b/>
                <w:sz w:val="18"/>
              </w:rPr>
              <w:t>Razón social</w:t>
            </w:r>
          </w:p>
        </w:tc>
        <w:tc>
          <w:tcPr>
            <w:tcW w:type="dxa" w:w="6781"/>
          </w:tcPr>
          <w:p>
            <w:r/>
            <w:r>
              <w:rPr>
                <w:rFonts w:ascii="Calibri" w:hAnsi="Calibri"/>
                <w:b w:val="0"/>
                <w:sz w:val="18"/>
              </w:rPr>
              <w:t>Soluciones Energéticas JEA S.A. de C.V. (SolarPro)</w:t>
            </w:r>
          </w:p>
        </w:tc>
      </w:tr>
      <w:tr>
        <w:tc>
          <w:tcPr>
            <w:tcW w:type="dxa" w:w="3191"/>
            <w:shd w:val="clear" w:fill="F2F2F2"/>
          </w:tcPr>
          <w:p>
            <w:r/>
            <w:r>
              <w:rPr>
                <w:rFonts w:ascii="Calibri" w:hAnsi="Calibri"/>
                <w:b/>
                <w:sz w:val="18"/>
              </w:rPr>
              <w:t>RFC</w:t>
            </w:r>
          </w:p>
        </w:tc>
        <w:tc>
          <w:tcPr>
            <w:tcW w:type="dxa" w:w="6781"/>
          </w:tcPr>
          <w:p>
            <w:r/>
            <w:r>
              <w:rPr>
                <w:rFonts w:ascii="Calibri" w:hAnsi="Calibri"/>
                <w:b w:val="0"/>
                <w:sz w:val="18"/>
              </w:rPr>
              <w:t>SEJ151105UV7</w:t>
            </w:r>
          </w:p>
        </w:tc>
      </w:tr>
      <w:tr>
        <w:tc>
          <w:tcPr>
            <w:tcW w:type="dxa" w:w="3191"/>
            <w:shd w:val="clear" w:fill="F2F2F2"/>
          </w:tcPr>
          <w:p>
            <w:r/>
            <w:r>
              <w:rPr>
                <w:rFonts w:ascii="Calibri" w:hAnsi="Calibri"/>
                <w:b/>
                <w:sz w:val="18"/>
              </w:rPr>
              <w:t>Sitios cubiertos</w:t>
            </w:r>
          </w:p>
        </w:tc>
        <w:tc>
          <w:tcPr>
            <w:tcW w:type="dxa" w:w="6781"/>
          </w:tcPr>
          <w:p>
            <w:r/>
            <w:r>
              <w:rPr>
                <w:rFonts w:ascii="Calibri" w:hAnsi="Calibri"/>
                <w:b w:val="0"/>
                <w:sz w:val="18"/>
              </w:rPr>
              <w:t>Matriz Chihuahua; operación Ciudad Juárez</w:t>
            </w:r>
          </w:p>
        </w:tc>
      </w:tr>
    </w:tbl>
    <w:p>
      <w:pPr>
        <w:keepNext/>
        <w:spacing w:before="280" w:after="80"/>
        <w:pBdr>
          <w:bottom w:val="single" w:sz="8" w:color="F0E528"/>
        </w:pBdr>
      </w:pPr>
      <w:r>
        <w:rPr>
          <w:rFonts w:ascii="Georgia" w:hAnsi="Georgia"/>
          <w:b/>
          <w:color w:val="0056B4"/>
          <w:sz w:val="26"/>
        </w:rPr>
        <w:t>HISTORIAL DE REVISIONES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1197"/>
            <w:shd w:val="clear" w:fill="0056B4"/>
          </w:tcPr>
          <w:p>
            <w:pPr>
              <w:jc w:val="center"/>
            </w:pPr>
            <w:r/>
            <w:r>
              <w:rPr>
                <w:rFonts w:ascii="Calibri" w:hAnsi="Calibri"/>
                <w:b/>
                <w:color w:val="FFFFFF"/>
                <w:sz w:val="17"/>
              </w:rPr>
              <w:t>Versión</w:t>
            </w:r>
          </w:p>
        </w:tc>
        <w:tc>
          <w:tcPr>
            <w:tcW w:type="dxa" w:w="1596"/>
            <w:shd w:val="clear" w:fill="0056B4"/>
          </w:tcPr>
          <w:p>
            <w:pPr>
              <w:jc w:val="center"/>
            </w:pPr>
            <w:r/>
            <w:r>
              <w:rPr>
                <w:rFonts w:ascii="Calibri" w:hAnsi="Calibri"/>
                <w:b/>
                <w:color w:val="FFFFFF"/>
                <w:sz w:val="17"/>
              </w:rPr>
              <w:t>Fecha</w:t>
            </w:r>
          </w:p>
        </w:tc>
        <w:tc>
          <w:tcPr>
            <w:tcW w:type="dxa" w:w="5584"/>
            <w:shd w:val="clear" w:fill="0056B4"/>
          </w:tcPr>
          <w:p>
            <w:pPr>
              <w:jc w:val="center"/>
            </w:pPr>
            <w:r/>
            <w:r>
              <w:rPr>
                <w:rFonts w:ascii="Calibri" w:hAnsi="Calibri"/>
                <w:b/>
                <w:color w:val="FFFFFF"/>
                <w:sz w:val="17"/>
              </w:rPr>
              <w:t>Descripción del cambio</w:t>
            </w:r>
          </w:p>
        </w:tc>
        <w:tc>
          <w:tcPr>
            <w:tcW w:type="dxa" w:w="1596"/>
            <w:shd w:val="clear" w:fill="0056B4"/>
          </w:tcPr>
          <w:p>
            <w:pPr>
              <w:jc w:val="center"/>
            </w:pPr>
            <w:r/>
            <w:r>
              <w:rPr>
                <w:rFonts w:ascii="Calibri" w:hAnsi="Calibri"/>
                <w:b/>
                <w:color w:val="FFFFFF"/>
                <w:sz w:val="17"/>
              </w:rPr>
              <w:t>Elaboró</w:t>
            </w:r>
          </w:p>
        </w:tc>
      </w:tr>
      <w:tr>
        <w:tc>
          <w:tcPr>
            <w:tcW w:type="dxa" w:w="1197"/>
          </w:tcPr>
          <w:p>
            <w:r/>
            <w:r>
              <w:rPr>
                <w:rFonts w:ascii="Calibri" w:hAnsi="Calibri"/>
                <w:b w:val="0"/>
                <w:sz w:val="19"/>
              </w:rPr>
              <w:t>1</w:t>
            </w:r>
          </w:p>
        </w:tc>
        <w:tc>
          <w:tcPr>
            <w:tcW w:type="dxa" w:w="1596"/>
          </w:tcPr>
          <w:p>
            <w:r/>
            <w:r>
              <w:rPr>
                <w:rFonts w:ascii="Calibri" w:hAnsi="Calibri"/>
                <w:b w:val="0"/>
                <w:sz w:val="19"/>
              </w:rPr>
              <w:t>17 de septiembre de 2026</w:t>
            </w:r>
          </w:p>
        </w:tc>
        <w:tc>
          <w:tcPr>
            <w:tcW w:type="dxa" w:w="5584"/>
          </w:tcPr>
          <w:p>
            <w:r/>
            <w:r>
              <w:rPr>
                <w:rFonts w:ascii="Calibri" w:hAnsi="Calibri"/>
                <w:b w:val="0"/>
                <w:sz w:val="19"/>
              </w:rPr>
              <w:t>Emisión inicial derivada de la cláusula 6.3 del SGC (ISO 9001:2015).</w:t>
            </w:r>
          </w:p>
        </w:tc>
        <w:tc>
          <w:tcPr>
            <w:tcW w:type="dxa" w:w="1596"/>
          </w:tcPr>
          <w:p>
            <w:r/>
            <w:r>
              <w:rPr>
                <w:rFonts w:ascii="Calibri" w:hAnsi="Calibri"/>
                <w:b w:val="0"/>
                <w:sz w:val="19"/>
              </w:rPr>
              <w:t>DETA Consultores</w:t>
            </w:r>
          </w:p>
        </w:tc>
      </w:tr>
    </w:tbl>
    <w:p>
      <w:r>
        <w:br w:type="page"/>
      </w:r>
    </w:p>
    <w:p>
      <w:pPr>
        <w:keepNext/>
        <w:spacing w:before="280" w:after="80"/>
        <w:pBdr>
          <w:bottom w:val="single" w:sz="8" w:color="F0E528"/>
        </w:pBdr>
      </w:pPr>
      <w:r>
        <w:rPr>
          <w:rFonts w:ascii="Georgia" w:hAnsi="Georgia"/>
          <w:b/>
          <w:color w:val="0056B4"/>
          <w:sz w:val="26"/>
        </w:rPr>
        <w:t>CONTENIDO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r>
        <w:br w:type="page"/>
      </w:r>
    </w:p>
    <w:p>
      <w:pPr>
        <w:keepNext/>
        <w:spacing w:before="280" w:after="80"/>
        <w:pBdr>
          <w:bottom w:val="single" w:sz="8" w:color="F0E528"/>
        </w:pBdr>
      </w:pPr>
      <w:r>
        <w:rPr>
          <w:rFonts w:ascii="Georgia" w:hAnsi="Georgia"/>
          <w:b/>
          <w:color w:val="0056B4"/>
          <w:sz w:val="26"/>
        </w:rPr>
        <w:t>1. Objetivo</w:t>
      </w:r>
    </w:p>
    <w:p>
      <w:pPr>
        <w:spacing w:after="120"/>
      </w:pPr>
      <w:r>
        <w:rPr>
          <w:rFonts w:ascii="Calibri" w:hAnsi="Calibri"/>
          <w:color w:val="1C242E"/>
          <w:sz w:val="21"/>
        </w:rPr>
        <w:t>Establecer la metodologia para identificar, analizar, aprobar, implementar y controlar los cambios relevantes que afectan al Sistema de Gestion de Calidad de Soluciones Energeticas JEA, S.A. de C.V. (SolarPro y Capital Climas), asegurando que se realicen de manera planificada y que su impacto sobre la conformidad de los productos y servicios, los recursos, las responsabilidades y los riesgos sea evaluado y aprobado antes de su ejecucion.</w:t>
      </w:r>
    </w:p>
    <w:p>
      <w:pPr>
        <w:keepNext/>
        <w:spacing w:before="280" w:after="80"/>
        <w:pBdr>
          <w:bottom w:val="single" w:sz="8" w:color="F0E528"/>
        </w:pBdr>
      </w:pPr>
      <w:r>
        <w:rPr>
          <w:rFonts w:ascii="Georgia" w:hAnsi="Georgia"/>
          <w:b/>
          <w:color w:val="0056B4"/>
          <w:sz w:val="26"/>
        </w:rPr>
        <w:t>2. Alcance</w:t>
      </w:r>
    </w:p>
    <w:p>
      <w:pPr>
        <w:spacing w:after="120"/>
      </w:pPr>
      <w:r>
        <w:rPr>
          <w:rFonts w:ascii="Calibri" w:hAnsi="Calibri"/>
          <w:color w:val="1C242E"/>
          <w:sz w:val="21"/>
        </w:rPr>
        <w:t>Aplica a todos los cambios relevantes o significativos que puedan afectar la capacidad de la organizacion para cumplir los requisitos de sus clientes y del SGC en las sedes de Chihuahua y Ciudad Juarez, en las areas de Direccion General, Gerencia Comercial, Gerencia Administrativa, Coordinacion de Ingenieria, Coordinacion de Instalaciones/Operaciones, Postventa y Almacen.</w:t>
      </w:r>
    </w:p>
    <w:p>
      <w:pPr>
        <w:spacing w:after="120"/>
      </w:pPr>
      <w:r>
        <w:rPr>
          <w:rFonts w:ascii="Calibri" w:hAnsi="Calibri"/>
          <w:color w:val="1C242E"/>
          <w:sz w:val="21"/>
        </w:rPr>
        <w:t>Incluye, de manera enunciativa mas no limitativa, tres tipos de cambio recurrentes: incorporacion de un nuevo proveedor, ingreso o movimiento de personal, y arranque de un nuevo tipo de proyecto. Se excluyen los cambios menores de rutina operativa que no afectan procesos, recursos ni requisitos, los cuales se gestionan dentro de cada procedimiento de area.</w:t>
      </w:r>
    </w:p>
    <w:p>
      <w:pPr>
        <w:keepNext/>
        <w:spacing w:before="280" w:after="80"/>
        <w:pBdr>
          <w:bottom w:val="single" w:sz="8" w:color="F0E528"/>
        </w:pBdr>
      </w:pPr>
      <w:r>
        <w:rPr>
          <w:rFonts w:ascii="Georgia" w:hAnsi="Georgia"/>
          <w:b/>
          <w:color w:val="0056B4"/>
          <w:sz w:val="26"/>
        </w:rPr>
        <w:t>3. Definiciones</w:t>
      </w:r>
    </w:p>
    <w:p>
      <w:pPr>
        <w:pStyle w:val="ListBullet"/>
      </w:pPr>
      <w:r>
        <w:rPr>
          <w:rFonts w:ascii="Calibri" w:hAnsi="Calibri"/>
          <w:sz w:val="20"/>
        </w:rPr>
        <w:t>Cambio relevante (o significativo): modificacion planificada en procesos, proveedores, personal clave, alcance de proyectos, infraestructura, tecnologia o requisitos que puede afectar la conformidad de los productos y servicios o el desempeno del SGC.</w:t>
      </w:r>
    </w:p>
    <w:p>
      <w:pPr>
        <w:pStyle w:val="ListBullet"/>
      </w:pPr>
      <w:r>
        <w:rPr>
          <w:rFonts w:ascii="Calibri" w:hAnsi="Calibri"/>
          <w:sz w:val="20"/>
        </w:rPr>
        <w:t>Analisis de impacto: evaluacion previa de las consecuencias potenciales de un cambio sobre la calidad, los recursos, las responsabilidades, los riesgos y los requisitos aplicables.</w:t>
      </w:r>
    </w:p>
    <w:p>
      <w:pPr>
        <w:pStyle w:val="ListBullet"/>
      </w:pPr>
      <w:r>
        <w:rPr>
          <w:rFonts w:ascii="Calibri" w:hAnsi="Calibri"/>
          <w:sz w:val="20"/>
        </w:rPr>
        <w:t>Solicitud de cambio: registro formal mediante el cual se propone un cambio para su analisis y aprobacion, documentado en el formato FOR-CAM-01.</w:t>
      </w:r>
    </w:p>
    <w:p>
      <w:pPr>
        <w:pStyle w:val="ListBullet"/>
      </w:pPr>
      <w:r>
        <w:rPr>
          <w:rFonts w:ascii="Calibri" w:hAnsi="Calibri"/>
          <w:sz w:val="20"/>
        </w:rPr>
        <w:t>Solicitante: persona o area que identifica la necesidad del cambio y lo documenta.</w:t>
      </w:r>
    </w:p>
    <w:p>
      <w:pPr>
        <w:pStyle w:val="ListBullet"/>
      </w:pPr>
      <w:r>
        <w:rPr>
          <w:rFonts w:ascii="Calibri" w:hAnsi="Calibri"/>
          <w:sz w:val="20"/>
        </w:rPr>
        <w:t>Aprobador: rol con autoridad para autorizar o rechazar un cambio segun su nivel de impacto.</w:t>
      </w:r>
    </w:p>
    <w:p>
      <w:pPr>
        <w:pStyle w:val="ListBullet"/>
      </w:pPr>
      <w:r>
        <w:rPr>
          <w:rFonts w:ascii="Calibri" w:hAnsi="Calibri"/>
          <w:sz w:val="20"/>
        </w:rPr>
        <w:t>Disponibilidad de recursos: personas, infraestructura, informacion y presupuesto necesarios para implementar el cambio sin afectar la operacion.</w:t>
      </w:r>
    </w:p>
    <w:p>
      <w:pPr>
        <w:pStyle w:val="ListBullet"/>
      </w:pPr>
      <w:r>
        <w:rPr>
          <w:rFonts w:ascii="Calibri" w:hAnsi="Calibri"/>
          <w:sz w:val="20"/>
        </w:rPr>
        <w:t>Integridad del SGC: coherencia del sistema de gestion cuando se introducen cambios, de modo que los procesos sigan conectados y controlados.</w:t>
      </w:r>
    </w:p>
    <w:p>
      <w:pPr>
        <w:keepNext/>
        <w:spacing w:before="280" w:after="80"/>
        <w:pBdr>
          <w:bottom w:val="single" w:sz="8" w:color="F0E528"/>
        </w:pBdr>
      </w:pPr>
      <w:r>
        <w:rPr>
          <w:rFonts w:ascii="Georgia" w:hAnsi="Georgia"/>
          <w:b/>
          <w:color w:val="0056B4"/>
          <w:sz w:val="26"/>
        </w:rPr>
        <w:t>4. Responsabilidades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4986"/>
            <w:shd w:val="clear" w:fill="0056B4"/>
          </w:tcPr>
          <w:p>
            <w:pPr>
              <w:jc w:val="center"/>
            </w:pPr>
            <w:r/>
            <w:r>
              <w:rPr>
                <w:rFonts w:ascii="Calibri" w:hAnsi="Calibri"/>
                <w:b/>
                <w:color w:val="FFFFFF"/>
                <w:sz w:val="17"/>
              </w:rPr>
              <w:t>Rol</w:t>
            </w:r>
          </w:p>
        </w:tc>
        <w:tc>
          <w:tcPr>
            <w:tcW w:type="dxa" w:w="4986"/>
            <w:shd w:val="clear" w:fill="0056B4"/>
          </w:tcPr>
          <w:p>
            <w:pPr>
              <w:jc w:val="center"/>
            </w:pPr>
            <w:r/>
            <w:r>
              <w:rPr>
                <w:rFonts w:ascii="Calibri" w:hAnsi="Calibri"/>
                <w:b/>
                <w:color w:val="FFFFFF"/>
                <w:sz w:val="17"/>
              </w:rPr>
              <w:t>Responsabilidad en el control de cambios</w:t>
            </w:r>
          </w:p>
        </w:tc>
      </w:tr>
      <w:tr>
        <w:tc>
          <w:tcPr>
            <w:tcW w:type="dxa" w:w="4986"/>
          </w:tcPr>
          <w:p>
            <w:r/>
            <w:r>
              <w:rPr>
                <w:rFonts w:ascii="Calibri" w:hAnsi="Calibri"/>
                <w:b w:val="0"/>
                <w:sz w:val="19"/>
              </w:rPr>
              <w:t>Direccion General</w:t>
            </w:r>
          </w:p>
        </w:tc>
        <w:tc>
          <w:tcPr>
            <w:tcW w:type="dxa" w:w="4986"/>
          </w:tcPr>
          <w:p>
            <w:r/>
            <w:r>
              <w:rPr>
                <w:rFonts w:ascii="Calibri" w:hAnsi="Calibri"/>
                <w:b w:val="0"/>
                <w:sz w:val="19"/>
              </w:rPr>
              <w:t>Aprobar cambios de alto impacto (estrategicos, nuevos tipos de proyecto, inversiones mayores o que afectan varias areas). Asegurar la disponibilidad de recursos.</w:t>
            </w:r>
          </w:p>
        </w:tc>
      </w:tr>
      <w:tr>
        <w:tc>
          <w:tcPr>
            <w:tcW w:type="dxa" w:w="4986"/>
          </w:tcPr>
          <w:p>
            <w:r/>
            <w:r>
              <w:rPr>
                <w:rFonts w:ascii="Calibri" w:hAnsi="Calibri"/>
                <w:b w:val="0"/>
                <w:sz w:val="19"/>
              </w:rPr>
              <w:t>Gerencia Administrativa (custodio del SGC)</w:t>
            </w:r>
          </w:p>
        </w:tc>
        <w:tc>
          <w:tcPr>
            <w:tcW w:type="dxa" w:w="4986"/>
          </w:tcPr>
          <w:p>
            <w:r/>
            <w:r>
              <w:rPr>
                <w:rFonts w:ascii="Calibri" w:hAnsi="Calibri"/>
                <w:b w:val="0"/>
                <w:sz w:val="19"/>
              </w:rPr>
              <w:t>Administrar este procedimiento, resguardar los registros FOR-CAM-01, verificar que todo cambio relevante siga el flujo, y aprobar cambios de personal y de integridad del SGC.</w:t>
            </w:r>
          </w:p>
        </w:tc>
      </w:tr>
      <w:tr>
        <w:tc>
          <w:tcPr>
            <w:tcW w:type="dxa" w:w="4986"/>
          </w:tcPr>
          <w:p>
            <w:r/>
            <w:r>
              <w:rPr>
                <w:rFonts w:ascii="Calibri" w:hAnsi="Calibri"/>
                <w:b w:val="0"/>
                <w:sz w:val="19"/>
              </w:rPr>
              <w:t>Gerencia Comercial</w:t>
            </w:r>
          </w:p>
        </w:tc>
        <w:tc>
          <w:tcPr>
            <w:tcW w:type="dxa" w:w="4986"/>
          </w:tcPr>
          <w:p>
            <w:r/>
            <w:r>
              <w:rPr>
                <w:rFonts w:ascii="Calibri" w:hAnsi="Calibri"/>
                <w:b w:val="0"/>
                <w:sz w:val="19"/>
              </w:rPr>
              <w:t>Solicitar y evaluar cambios relacionados con clientes, mercado y nuevos tipos de proyecto.</w:t>
            </w:r>
          </w:p>
        </w:tc>
      </w:tr>
      <w:tr>
        <w:tc>
          <w:tcPr>
            <w:tcW w:type="dxa" w:w="4986"/>
          </w:tcPr>
          <w:p>
            <w:r/>
            <w:r>
              <w:rPr>
                <w:rFonts w:ascii="Calibri" w:hAnsi="Calibri"/>
                <w:b w:val="0"/>
                <w:sz w:val="19"/>
              </w:rPr>
              <w:t>Coordinacion de Ingenieria</w:t>
            </w:r>
          </w:p>
        </w:tc>
        <w:tc>
          <w:tcPr>
            <w:tcW w:type="dxa" w:w="4986"/>
          </w:tcPr>
          <w:p>
            <w:r/>
            <w:r>
              <w:rPr>
                <w:rFonts w:ascii="Calibri" w:hAnsi="Calibri"/>
                <w:b w:val="0"/>
                <w:sz w:val="19"/>
              </w:rPr>
              <w:t>Evaluar el impacto tecnico de los cambios (diseno, especificaciones, nuevas tecnologias o tipos de proyecto).</w:t>
            </w:r>
          </w:p>
        </w:tc>
      </w:tr>
      <w:tr>
        <w:tc>
          <w:tcPr>
            <w:tcW w:type="dxa" w:w="4986"/>
          </w:tcPr>
          <w:p>
            <w:r/>
            <w:r>
              <w:rPr>
                <w:rFonts w:ascii="Calibri" w:hAnsi="Calibri"/>
                <w:b w:val="0"/>
                <w:sz w:val="19"/>
              </w:rPr>
              <w:t>Coordinacion de Instalaciones/Operaciones</w:t>
            </w:r>
          </w:p>
        </w:tc>
        <w:tc>
          <w:tcPr>
            <w:tcW w:type="dxa" w:w="4986"/>
          </w:tcPr>
          <w:p>
            <w:r/>
            <w:r>
              <w:rPr>
                <w:rFonts w:ascii="Calibri" w:hAnsi="Calibri"/>
                <w:b w:val="0"/>
                <w:sz w:val="19"/>
              </w:rPr>
              <w:t>Evaluar el impacto operativo y de recursos en campo derivado del cambio.</w:t>
            </w:r>
          </w:p>
        </w:tc>
      </w:tr>
      <w:tr>
        <w:tc>
          <w:tcPr>
            <w:tcW w:type="dxa" w:w="4986"/>
          </w:tcPr>
          <w:p>
            <w:r/>
            <w:r>
              <w:rPr>
                <w:rFonts w:ascii="Calibri" w:hAnsi="Calibri"/>
                <w:b w:val="0"/>
                <w:sz w:val="19"/>
              </w:rPr>
              <w:t>Postventa</w:t>
            </w:r>
          </w:p>
        </w:tc>
        <w:tc>
          <w:tcPr>
            <w:tcW w:type="dxa" w:w="4986"/>
          </w:tcPr>
          <w:p>
            <w:r/>
            <w:r>
              <w:rPr>
                <w:rFonts w:ascii="Calibri" w:hAnsi="Calibri"/>
                <w:b w:val="0"/>
                <w:sz w:val="19"/>
              </w:rPr>
              <w:t>Evaluar el impacto del cambio en garantias, servicio y satisfaccion del cliente.</w:t>
            </w:r>
          </w:p>
        </w:tc>
      </w:tr>
      <w:tr>
        <w:tc>
          <w:tcPr>
            <w:tcW w:type="dxa" w:w="4986"/>
          </w:tcPr>
          <w:p>
            <w:r/>
            <w:r>
              <w:rPr>
                <w:rFonts w:ascii="Calibri" w:hAnsi="Calibri"/>
                <w:b w:val="0"/>
                <w:sz w:val="19"/>
              </w:rPr>
              <w:t>Almacen</w:t>
            </w:r>
          </w:p>
        </w:tc>
        <w:tc>
          <w:tcPr>
            <w:tcW w:type="dxa" w:w="4986"/>
          </w:tcPr>
          <w:p>
            <w:r/>
            <w:r>
              <w:rPr>
                <w:rFonts w:ascii="Calibri" w:hAnsi="Calibri"/>
                <w:b w:val="0"/>
                <w:sz w:val="19"/>
              </w:rPr>
              <w:t>Evaluar el impacto de cambios de proveedor sobre inventario, suministro y aseguramiento de material.</w:t>
            </w:r>
          </w:p>
        </w:tc>
      </w:tr>
      <w:tr>
        <w:tc>
          <w:tcPr>
            <w:tcW w:type="dxa" w:w="4986"/>
          </w:tcPr>
          <w:p>
            <w:r/>
            <w:r>
              <w:rPr>
                <w:rFonts w:ascii="Calibri" w:hAnsi="Calibri"/>
                <w:b w:val="0"/>
                <w:sz w:val="19"/>
              </w:rPr>
              <w:t>DETA Consultores</w:t>
            </w:r>
          </w:p>
        </w:tc>
        <w:tc>
          <w:tcPr>
            <w:tcW w:type="dxa" w:w="4986"/>
          </w:tcPr>
          <w:p>
            <w:r/>
            <w:r>
              <w:rPr>
                <w:rFonts w:ascii="Calibri" w:hAnsi="Calibri"/>
                <w:b w:val="0"/>
                <w:sz w:val="19"/>
              </w:rPr>
              <w:t>Acompanar metodologicamente la aplicacion del procedimiento durante la implementacion y maduracion del SGC.</w:t>
            </w:r>
          </w:p>
        </w:tc>
      </w:tr>
    </w:tbl>
    <w:p>
      <w:pPr>
        <w:keepNext/>
        <w:spacing w:before="280" w:after="80"/>
        <w:pBdr>
          <w:bottom w:val="single" w:sz="8" w:color="F0E528"/>
        </w:pBdr>
      </w:pPr>
      <w:r>
        <w:rPr>
          <w:rFonts w:ascii="Georgia" w:hAnsi="Georgia"/>
          <w:b/>
          <w:color w:val="0056B4"/>
          <w:sz w:val="26"/>
        </w:rPr>
        <w:t>5. Desarrollo</w:t>
      </w:r>
    </w:p>
    <w:p>
      <w:pPr>
        <w:keepNext/>
        <w:spacing w:before="200" w:after="60"/>
      </w:pPr>
      <w:r>
        <w:rPr>
          <w:rFonts w:ascii="Georgia" w:hAnsi="Georgia"/>
          <w:b/>
          <w:color w:val="1C242E"/>
          <w:sz w:val="22"/>
        </w:rPr>
        <w:t>5.1 Flujo general del control de cambios</w:t>
      </w:r>
    </w:p>
    <w:p>
      <w:pPr>
        <w:pStyle w:val="ListNumber"/>
      </w:pPr>
      <w:r>
        <w:rPr>
          <w:b/>
          <w:sz w:val="20"/>
        </w:rPr>
        <w:t xml:space="preserve">Identificacion y solicitud del cambio. </w:t>
      </w:r>
      <w:r>
        <w:rPr>
          <w:rFonts w:ascii="Calibri" w:hAnsi="Calibri"/>
          <w:sz w:val="20"/>
        </w:rPr>
        <w:t>Cualquier area que detecte la necesidad de un cambio relevante lo comunica y lo documenta como solicitante. No se inicia ningun cambio relevante fuera de este flujo.</w:t>
      </w:r>
    </w:p>
    <w:p>
      <w:pPr>
        <w:pStyle w:val="ListNumber"/>
      </w:pPr>
      <w:r>
        <w:rPr>
          <w:b/>
          <w:sz w:val="20"/>
        </w:rPr>
        <w:t xml:space="preserve">Registro en el formato FOR-CAM-01. </w:t>
      </w:r>
      <w:r>
        <w:rPr>
          <w:rFonts w:ascii="Calibri" w:hAnsi="Calibri"/>
          <w:sz w:val="20"/>
        </w:rPr>
        <w:t>El solicitante registra el cambio en la Solicitud y control de cambios (FOR-CAM-01), describiendo el proposito, la justificacion y los resultados esperados.</w:t>
      </w:r>
    </w:p>
    <w:p>
      <w:pPr>
        <w:pStyle w:val="ListNumber"/>
      </w:pPr>
      <w:r>
        <w:rPr>
          <w:b/>
          <w:sz w:val="20"/>
        </w:rPr>
        <w:t xml:space="preserve">Analisis de impacto. </w:t>
      </w:r>
      <w:r>
        <w:rPr>
          <w:rFonts w:ascii="Calibri" w:hAnsi="Calibri"/>
          <w:sz w:val="20"/>
        </w:rPr>
        <w:t>Las areas afectadas evaluan las consecuencias del cambio conforme al numeral 5.3, antes de cualquier ejecucion.</w:t>
      </w:r>
    </w:p>
    <w:p>
      <w:pPr>
        <w:pStyle w:val="ListNumber"/>
      </w:pPr>
      <w:r>
        <w:rPr>
          <w:b/>
          <w:sz w:val="20"/>
        </w:rPr>
        <w:t xml:space="preserve">Determinacion del nivel de aprobacion. </w:t>
      </w:r>
      <w:r>
        <w:rPr>
          <w:rFonts w:ascii="Calibri" w:hAnsi="Calibri"/>
          <w:sz w:val="20"/>
        </w:rPr>
        <w:t>Segun el impacto estimado, se asigna el aprobador correspondiente conforme al numeral 5.4.</w:t>
      </w:r>
    </w:p>
    <w:p>
      <w:pPr>
        <w:pStyle w:val="ListNumber"/>
      </w:pPr>
      <w:r>
        <w:rPr>
          <w:b/>
          <w:sz w:val="20"/>
        </w:rPr>
        <w:t xml:space="preserve">Aprobacion o rechazo. </w:t>
      </w:r>
      <w:r>
        <w:rPr>
          <w:rFonts w:ascii="Calibri" w:hAnsi="Calibri"/>
          <w:sz w:val="20"/>
        </w:rPr>
        <w:t>El aprobador autoriza o rechaza el cambio y lo registra en el FOR-CAM-01. El cambio no se ejecuta sin aprobacion documentada.</w:t>
      </w:r>
    </w:p>
    <w:p>
      <w:pPr>
        <w:pStyle w:val="ListNumber"/>
      </w:pPr>
      <w:r>
        <w:rPr>
          <w:b/>
          <w:sz w:val="20"/>
        </w:rPr>
        <w:t xml:space="preserve">Planificacion e implementacion. </w:t>
      </w:r>
      <w:r>
        <w:rPr>
          <w:rFonts w:ascii="Calibri" w:hAnsi="Calibri"/>
          <w:sz w:val="20"/>
        </w:rPr>
        <w:t>Una vez aprobado, se define responsable, recursos y fecha, y se ejecuta el cambio de forma controlada, actualizando los documentos del SGC que resulten afectados.</w:t>
      </w:r>
    </w:p>
    <w:p>
      <w:pPr>
        <w:pStyle w:val="ListNumber"/>
      </w:pPr>
      <w:r>
        <w:rPr>
          <w:b/>
          <w:sz w:val="20"/>
        </w:rPr>
        <w:t xml:space="preserve">Verificacion y cierre. </w:t>
      </w:r>
      <w:r>
        <w:rPr>
          <w:rFonts w:ascii="Calibri" w:hAnsi="Calibri"/>
          <w:sz w:val="20"/>
        </w:rPr>
        <w:t>Se verifica que el cambio logro el resultado esperado sin afectar la integridad del SGC, y se cierra el registro FOR-CAM-01.</w:t>
      </w:r>
    </w:p>
    <w:p>
      <w:pPr>
        <w:keepNext/>
        <w:spacing w:before="200" w:after="60"/>
      </w:pPr>
      <w:r>
        <w:rPr>
          <w:rFonts w:ascii="Georgia" w:hAnsi="Georgia"/>
          <w:b/>
          <w:color w:val="1C242E"/>
          <w:sz w:val="22"/>
        </w:rPr>
        <w:t>5.2 Tipos de cambio relevantes y criterios minimos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2493"/>
            <w:shd w:val="clear" w:fill="0056B4"/>
          </w:tcPr>
          <w:p>
            <w:pPr>
              <w:jc w:val="center"/>
            </w:pPr>
            <w:r/>
            <w:r>
              <w:rPr>
                <w:rFonts w:ascii="Calibri" w:hAnsi="Calibri"/>
                <w:b/>
                <w:color w:val="FFFFFF"/>
                <w:sz w:val="17"/>
              </w:rPr>
              <w:t>Tipo de cambio</w:t>
            </w:r>
          </w:p>
        </w:tc>
        <w:tc>
          <w:tcPr>
            <w:tcW w:type="dxa" w:w="2493"/>
            <w:shd w:val="clear" w:fill="0056B4"/>
          </w:tcPr>
          <w:p>
            <w:pPr>
              <w:jc w:val="center"/>
            </w:pPr>
            <w:r/>
            <w:r>
              <w:rPr>
                <w:rFonts w:ascii="Calibri" w:hAnsi="Calibri"/>
                <w:b/>
                <w:color w:val="FFFFFF"/>
                <w:sz w:val="17"/>
              </w:rPr>
              <w:t>Ejemplos de disparador</w:t>
            </w:r>
          </w:p>
        </w:tc>
        <w:tc>
          <w:tcPr>
            <w:tcW w:type="dxa" w:w="2493"/>
            <w:shd w:val="clear" w:fill="0056B4"/>
          </w:tcPr>
          <w:p>
            <w:pPr>
              <w:jc w:val="center"/>
            </w:pPr>
            <w:r/>
            <w:r>
              <w:rPr>
                <w:rFonts w:ascii="Calibri" w:hAnsi="Calibri"/>
                <w:b/>
                <w:color w:val="FFFFFF"/>
                <w:sz w:val="17"/>
              </w:rPr>
              <w:t>Aspectos minimos del analisis de impacto</w:t>
            </w:r>
          </w:p>
        </w:tc>
        <w:tc>
          <w:tcPr>
            <w:tcW w:type="dxa" w:w="2493"/>
            <w:shd w:val="clear" w:fill="0056B4"/>
          </w:tcPr>
          <w:p>
            <w:pPr>
              <w:jc w:val="center"/>
            </w:pPr>
            <w:r/>
            <w:r>
              <w:rPr>
                <w:rFonts w:ascii="Calibri" w:hAnsi="Calibri"/>
                <w:b/>
                <w:color w:val="FFFFFF"/>
                <w:sz w:val="17"/>
              </w:rPr>
              <w:t>Aprobador</w:t>
            </w:r>
          </w:p>
        </w:tc>
      </w:tr>
      <w:tr>
        <w:tc>
          <w:tcPr>
            <w:tcW w:type="dxa" w:w="2493"/>
          </w:tcPr>
          <w:p>
            <w:r/>
            <w:r>
              <w:rPr>
                <w:rFonts w:ascii="Calibri" w:hAnsi="Calibri"/>
                <w:b w:val="0"/>
                <w:sz w:val="19"/>
              </w:rPr>
              <w:t>Nuevo proveedor</w:t>
            </w:r>
          </w:p>
        </w:tc>
        <w:tc>
          <w:tcPr>
            <w:tcW w:type="dxa" w:w="2493"/>
          </w:tcPr>
          <w:p>
            <w:r/>
            <w:r>
              <w:rPr>
                <w:rFonts w:ascii="Calibri" w:hAnsi="Calibri"/>
                <w:b w:val="0"/>
                <w:sz w:val="19"/>
              </w:rPr>
              <w:t>Alta de proveedor de paneles, inversores, estructura, material electrico o servicio subcontratado.</w:t>
            </w:r>
          </w:p>
        </w:tc>
        <w:tc>
          <w:tcPr>
            <w:tcW w:type="dxa" w:w="2493"/>
          </w:tcPr>
          <w:p>
            <w:r/>
            <w:r>
              <w:rPr>
                <w:rFonts w:ascii="Calibri" w:hAnsi="Calibri"/>
                <w:b w:val="0"/>
                <w:sz w:val="19"/>
              </w:rPr>
              <w:t>Evaluacion y seleccion conforme a PRO-PRV-001, calidad, tiempos de entrega, capacidad, garantias y riesgo de suministro.</w:t>
            </w:r>
          </w:p>
        </w:tc>
        <w:tc>
          <w:tcPr>
            <w:tcW w:type="dxa" w:w="2493"/>
          </w:tcPr>
          <w:p>
            <w:r/>
            <w:r>
              <w:rPr>
                <w:rFonts w:ascii="Calibri" w:hAnsi="Calibri"/>
                <w:b w:val="0"/>
                <w:sz w:val="19"/>
              </w:rPr>
              <w:t>Gerencia Administrativa y Almacen; Direccion General si el proveedor es critico.</w:t>
            </w:r>
          </w:p>
        </w:tc>
      </w:tr>
      <w:tr>
        <w:tc>
          <w:tcPr>
            <w:tcW w:type="dxa" w:w="2493"/>
          </w:tcPr>
          <w:p>
            <w:r/>
            <w:r>
              <w:rPr>
                <w:rFonts w:ascii="Calibri" w:hAnsi="Calibri"/>
                <w:b w:val="0"/>
                <w:sz w:val="19"/>
              </w:rPr>
              <w:t>Ingreso de personal</w:t>
            </w:r>
          </w:p>
        </w:tc>
        <w:tc>
          <w:tcPr>
            <w:tcW w:type="dxa" w:w="2493"/>
          </w:tcPr>
          <w:p>
            <w:r/>
            <w:r>
              <w:rPr>
                <w:rFonts w:ascii="Calibri" w:hAnsi="Calibri"/>
                <w:b w:val="0"/>
                <w:sz w:val="19"/>
              </w:rPr>
              <w:t>Contratacion o movimiento en un puesto que participa en procesos del SGC.</w:t>
            </w:r>
          </w:p>
        </w:tc>
        <w:tc>
          <w:tcPr>
            <w:tcW w:type="dxa" w:w="2493"/>
          </w:tcPr>
          <w:p>
            <w:r/>
            <w:r>
              <w:rPr>
                <w:rFonts w:ascii="Calibri" w:hAnsi="Calibri"/>
                <w:b w:val="0"/>
                <w:sz w:val="19"/>
              </w:rPr>
              <w:t>Perfil de puesto ISO aplicable, competencias, plan de capacitacion, accesos y cargas de trabajo.</w:t>
            </w:r>
          </w:p>
        </w:tc>
        <w:tc>
          <w:tcPr>
            <w:tcW w:type="dxa" w:w="2493"/>
          </w:tcPr>
          <w:p>
            <w:r/>
            <w:r>
              <w:rPr>
                <w:rFonts w:ascii="Calibri" w:hAnsi="Calibri"/>
                <w:b w:val="0"/>
                <w:sz w:val="19"/>
              </w:rPr>
              <w:t>Gerencia Administrativa y la gerencia del area solicitante.</w:t>
            </w:r>
          </w:p>
        </w:tc>
      </w:tr>
      <w:tr>
        <w:tc>
          <w:tcPr>
            <w:tcW w:type="dxa" w:w="2493"/>
          </w:tcPr>
          <w:p>
            <w:r/>
            <w:r>
              <w:rPr>
                <w:rFonts w:ascii="Calibri" w:hAnsi="Calibri"/>
                <w:b w:val="0"/>
                <w:sz w:val="19"/>
              </w:rPr>
              <w:t>Nuevo tipo de proyecto</w:t>
            </w:r>
          </w:p>
        </w:tc>
        <w:tc>
          <w:tcPr>
            <w:tcW w:type="dxa" w:w="2493"/>
          </w:tcPr>
          <w:p>
            <w:r/>
            <w:r>
              <w:rPr>
                <w:rFonts w:ascii="Calibri" w:hAnsi="Calibri"/>
                <w:b w:val="0"/>
                <w:sz w:val="19"/>
              </w:rPr>
              <w:t>Proyecto fuera del alcance habitual (nueva tecnologia, mayor capacidad, nuevo segmento o modalidad).</w:t>
            </w:r>
          </w:p>
        </w:tc>
        <w:tc>
          <w:tcPr>
            <w:tcW w:type="dxa" w:w="2493"/>
          </w:tcPr>
          <w:p>
            <w:r/>
            <w:r>
              <w:rPr>
                <w:rFonts w:ascii="Calibri" w:hAnsi="Calibri"/>
                <w:b w:val="0"/>
                <w:sz w:val="19"/>
              </w:rPr>
              <w:t>Capacidad tecnica, recursos, riesgos (MAT-RIE-001), requisitos aplicables, competencias y necesidad de subcontratacion.</w:t>
            </w:r>
          </w:p>
        </w:tc>
        <w:tc>
          <w:tcPr>
            <w:tcW w:type="dxa" w:w="2493"/>
          </w:tcPr>
          <w:p>
            <w:r/>
            <w:r>
              <w:rPr>
                <w:rFonts w:ascii="Calibri" w:hAnsi="Calibri"/>
                <w:b w:val="0"/>
                <w:sz w:val="19"/>
              </w:rPr>
              <w:t>Direccion General con Gerencia Comercial y Coordinacion de Ingenieria.</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Documentar los casos tipicos de cambio que vive el negocio (ejemplos reales recurrentes de nuevos proveedores, movimientos de personal y nuevos tipos de proyecto) para incorporarlos como ejemplos guia en este procedimiento y calibrar los niveles de aprobacion.</w:t>
            </w:r>
          </w:p>
        </w:tc>
      </w:tr>
    </w:tbl>
    <w:p>
      <w:pPr>
        <w:spacing w:after="40"/>
      </w:pPr>
    </w:p>
    <w:p>
      <w:pPr>
        <w:keepNext/>
        <w:spacing w:before="200" w:after="60"/>
      </w:pPr>
      <w:r>
        <w:rPr>
          <w:rFonts w:ascii="Georgia" w:hAnsi="Georgia"/>
          <w:b/>
          <w:color w:val="1C242E"/>
          <w:sz w:val="22"/>
        </w:rPr>
        <w:t>5.3 Analisis de impacto</w:t>
      </w:r>
    </w:p>
    <w:p>
      <w:pPr>
        <w:spacing w:after="120"/>
      </w:pPr>
      <w:r>
        <w:rPr>
          <w:rFonts w:ascii="Calibri" w:hAnsi="Calibri"/>
          <w:color w:val="1C242E"/>
          <w:sz w:val="21"/>
        </w:rPr>
        <w:t>Antes de aprobar y ejecutar el cambio, las areas afectadas evaluan, como minimo, las siguientes siete dimensiones y las registran en el FOR-CAM-01:</w:t>
      </w:r>
    </w:p>
    <w:p>
      <w:pPr>
        <w:pStyle w:val="ListBullet"/>
      </w:pPr>
      <w:r>
        <w:rPr>
          <w:rFonts w:ascii="Calibri" w:hAnsi="Calibri"/>
          <w:sz w:val="20"/>
        </w:rPr>
        <w:t>Proposito del cambio y resultados esperados.</w:t>
      </w:r>
    </w:p>
    <w:p>
      <w:pPr>
        <w:pStyle w:val="ListBullet"/>
      </w:pPr>
      <w:r>
        <w:rPr>
          <w:rFonts w:ascii="Calibri" w:hAnsi="Calibri"/>
          <w:sz w:val="20"/>
        </w:rPr>
        <w:t>Procesos, documentos y areas del SGC afectados.</w:t>
      </w:r>
    </w:p>
    <w:p>
      <w:pPr>
        <w:pStyle w:val="ListBullet"/>
      </w:pPr>
      <w:r>
        <w:rPr>
          <w:rFonts w:ascii="Calibri" w:hAnsi="Calibri"/>
          <w:sz w:val="20"/>
        </w:rPr>
        <w:t>Recursos necesarios (personas, infraestructura, presupuesto e informacion).</w:t>
      </w:r>
    </w:p>
    <w:p>
      <w:pPr>
        <w:pStyle w:val="ListBullet"/>
      </w:pPr>
      <w:r>
        <w:rPr>
          <w:rFonts w:ascii="Calibri" w:hAnsi="Calibri"/>
          <w:sz w:val="20"/>
        </w:rPr>
        <w:t>Competencias requeridas y necesidades de capacitacion.</w:t>
      </w:r>
    </w:p>
    <w:p>
      <w:pPr>
        <w:pStyle w:val="ListBullet"/>
      </w:pPr>
      <w:r>
        <w:rPr>
          <w:rFonts w:ascii="Calibri" w:hAnsi="Calibri"/>
          <w:sz w:val="20"/>
        </w:rPr>
        <w:t>Riesgos y oportunidades asociados, con vinculo a la Matriz de riesgos MAT-RIE-001.</w:t>
      </w:r>
    </w:p>
    <w:p>
      <w:pPr>
        <w:pStyle w:val="ListBullet"/>
      </w:pPr>
      <w:r>
        <w:rPr>
          <w:rFonts w:ascii="Calibri" w:hAnsi="Calibri"/>
          <w:sz w:val="20"/>
        </w:rPr>
        <w:t>Requisitos aplicables del cliente, legales y reglamentarios (en su forma generica vigente) y normativos.</w:t>
      </w:r>
    </w:p>
    <w:p>
      <w:pPr>
        <w:pStyle w:val="ListBullet"/>
      </w:pPr>
      <w:r>
        <w:rPr>
          <w:rFonts w:ascii="Calibri" w:hAnsi="Calibri"/>
          <w:sz w:val="20"/>
        </w:rPr>
        <w:t>Impacto sobre la integridad del SGC y sobre las responsabilidades y autoridades.</w:t>
      </w:r>
    </w:p>
    <w:p>
      <w:pPr>
        <w:keepNext/>
        <w:spacing w:before="200" w:after="60"/>
      </w:pPr>
      <w:r>
        <w:rPr>
          <w:rFonts w:ascii="Georgia" w:hAnsi="Georgia"/>
          <w:b/>
          <w:color w:val="1C242E"/>
          <w:sz w:val="22"/>
        </w:rPr>
        <w:t>5.4 Niveles de impacto y aprobacion</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3324"/>
        <w:gridCol w:w="3324"/>
        <w:gridCol w:w="3324"/>
      </w:tblGrid>
      <w:tr>
        <w:tc>
          <w:tcPr>
            <w:tcW w:type="dxa" w:w="3324"/>
            <w:shd w:val="clear" w:fill="0056B4"/>
          </w:tcPr>
          <w:p>
            <w:pPr>
              <w:jc w:val="center"/>
            </w:pPr>
            <w:r/>
            <w:r>
              <w:rPr>
                <w:rFonts w:ascii="Calibri" w:hAnsi="Calibri"/>
                <w:b/>
                <w:color w:val="FFFFFF"/>
                <w:sz w:val="17"/>
              </w:rPr>
              <w:t>Nivel de impacto</w:t>
            </w:r>
          </w:p>
        </w:tc>
        <w:tc>
          <w:tcPr>
            <w:tcW w:type="dxa" w:w="3324"/>
            <w:shd w:val="clear" w:fill="0056B4"/>
          </w:tcPr>
          <w:p>
            <w:pPr>
              <w:jc w:val="center"/>
            </w:pPr>
            <w:r/>
            <w:r>
              <w:rPr>
                <w:rFonts w:ascii="Calibri" w:hAnsi="Calibri"/>
                <w:b/>
                <w:color w:val="FFFFFF"/>
                <w:sz w:val="17"/>
              </w:rPr>
              <w:t>Criterio</w:t>
            </w:r>
          </w:p>
        </w:tc>
        <w:tc>
          <w:tcPr>
            <w:tcW w:type="dxa" w:w="3324"/>
            <w:shd w:val="clear" w:fill="0056B4"/>
          </w:tcPr>
          <w:p>
            <w:pPr>
              <w:jc w:val="center"/>
            </w:pPr>
            <w:r/>
            <w:r>
              <w:rPr>
                <w:rFonts w:ascii="Calibri" w:hAnsi="Calibri"/>
                <w:b/>
                <w:color w:val="FFFFFF"/>
                <w:sz w:val="17"/>
              </w:rPr>
              <w:t>Aprobador</w:t>
            </w:r>
          </w:p>
        </w:tc>
      </w:tr>
      <w:tr>
        <w:tc>
          <w:tcPr>
            <w:tcW w:type="dxa" w:w="3324"/>
          </w:tcPr>
          <w:p>
            <w:r/>
            <w:r>
              <w:rPr>
                <w:rFonts w:ascii="Calibri" w:hAnsi="Calibri"/>
                <w:b w:val="0"/>
                <w:sz w:val="19"/>
              </w:rPr>
              <w:t>Bajo</w:t>
            </w:r>
          </w:p>
        </w:tc>
        <w:tc>
          <w:tcPr>
            <w:tcW w:type="dxa" w:w="3324"/>
          </w:tcPr>
          <w:p>
            <w:r/>
            <w:r>
              <w:rPr>
                <w:rFonts w:ascii="Calibri" w:hAnsi="Calibri"/>
                <w:b w:val="0"/>
                <w:sz w:val="19"/>
              </w:rPr>
              <w:t>No afecta requisitos del cliente ni compromete recursos significativos; se limita a un area.</w:t>
            </w:r>
          </w:p>
        </w:tc>
        <w:tc>
          <w:tcPr>
            <w:tcW w:type="dxa" w:w="3324"/>
          </w:tcPr>
          <w:p>
            <w:r/>
            <w:r>
              <w:rPr>
                <w:rFonts w:ascii="Calibri" w:hAnsi="Calibri"/>
                <w:b w:val="0"/>
                <w:sz w:val="19"/>
              </w:rPr>
              <w:t>Gerencia del area o Gerencia Administrativa.</w:t>
            </w:r>
          </w:p>
        </w:tc>
      </w:tr>
      <w:tr>
        <w:tc>
          <w:tcPr>
            <w:tcW w:type="dxa" w:w="3324"/>
          </w:tcPr>
          <w:p>
            <w:r/>
            <w:r>
              <w:rPr>
                <w:rFonts w:ascii="Calibri" w:hAnsi="Calibri"/>
                <w:b w:val="0"/>
                <w:sz w:val="19"/>
              </w:rPr>
              <w:t>Medio</w:t>
            </w:r>
          </w:p>
        </w:tc>
        <w:tc>
          <w:tcPr>
            <w:tcW w:type="dxa" w:w="3324"/>
          </w:tcPr>
          <w:p>
            <w:r/>
            <w:r>
              <w:rPr>
                <w:rFonts w:ascii="Calibri" w:hAnsi="Calibri"/>
                <w:b w:val="0"/>
                <w:sz w:val="19"/>
              </w:rPr>
              <w:t>Afecta un proceso o recurso relevante, o involucra a mas de un area.</w:t>
            </w:r>
          </w:p>
        </w:tc>
        <w:tc>
          <w:tcPr>
            <w:tcW w:type="dxa" w:w="3324"/>
          </w:tcPr>
          <w:p>
            <w:r/>
            <w:r>
              <w:rPr>
                <w:rFonts w:ascii="Calibri" w:hAnsi="Calibri"/>
                <w:b w:val="0"/>
                <w:sz w:val="19"/>
              </w:rPr>
              <w:t>Gerencia Administrativa junto con la gerencia del area.</w:t>
            </w:r>
          </w:p>
        </w:tc>
      </w:tr>
      <w:tr>
        <w:tc>
          <w:tcPr>
            <w:tcW w:type="dxa" w:w="3324"/>
          </w:tcPr>
          <w:p>
            <w:r/>
            <w:r>
              <w:rPr>
                <w:rFonts w:ascii="Calibri" w:hAnsi="Calibri"/>
                <w:b w:val="0"/>
                <w:sz w:val="19"/>
              </w:rPr>
              <w:t>Alto</w:t>
            </w:r>
          </w:p>
        </w:tc>
        <w:tc>
          <w:tcPr>
            <w:tcW w:type="dxa" w:w="3324"/>
          </w:tcPr>
          <w:p>
            <w:r/>
            <w:r>
              <w:rPr>
                <w:rFonts w:ascii="Calibri" w:hAnsi="Calibri"/>
                <w:b w:val="0"/>
                <w:sz w:val="19"/>
              </w:rPr>
              <w:t>Afecta el alcance, involucra inversiones mayores, nuevos tipos de proyecto o multiples areas.</w:t>
            </w:r>
          </w:p>
        </w:tc>
        <w:tc>
          <w:tcPr>
            <w:tcW w:type="dxa" w:w="3324"/>
          </w:tcPr>
          <w:p>
            <w:r/>
            <w:r>
              <w:rPr>
                <w:rFonts w:ascii="Calibri" w:hAnsi="Calibri"/>
                <w:b w:val="0"/>
                <w:sz w:val="19"/>
              </w:rPr>
              <w:t>Direccion General.</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Definir, si aplica, los umbrales cuantitativos (monto de inversion, numero de personas u otros) que separan los niveles de impacto bajo, medio y alto, para objetivar la asignacion del aprobador.</w:t>
            </w:r>
          </w:p>
        </w:tc>
      </w:tr>
    </w:tbl>
    <w:p>
      <w:pPr>
        <w:spacing w:after="40"/>
      </w:pP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Regla de control: ningun cambio relevante se ejecuta hasta contar con la aprobacion registrada y firmada en el formato FOR-CAM-01. La implementacion no inicia sin la autorizacion del aprobador que corresponda al nivel de impacto.</w:t>
            </w:r>
          </w:p>
        </w:tc>
      </w:tr>
    </w:tbl>
    <w:p>
      <w:pPr>
        <w:spacing w:after="40"/>
      </w:pPr>
    </w:p>
    <w:p>
      <w:pPr>
        <w:keepNext/>
        <w:spacing w:before="280" w:after="80"/>
        <w:pBdr>
          <w:bottom w:val="single" w:sz="8" w:color="F0E528"/>
        </w:pBdr>
      </w:pPr>
      <w:r>
        <w:rPr>
          <w:rFonts w:ascii="Georgia" w:hAnsi="Georgia"/>
          <w:b/>
          <w:color w:val="0056B4"/>
          <w:sz w:val="26"/>
        </w:rPr>
        <w:t>6. Formato asociado. Solicitud y control de cambios (FOR-CAM-01)</w:t>
      </w:r>
    </w:p>
    <w:p>
      <w:pPr>
        <w:spacing w:after="120"/>
      </w:pPr>
      <w:r>
        <w:rPr>
          <w:rFonts w:ascii="Calibri" w:hAnsi="Calibri"/>
          <w:color w:val="1C242E"/>
          <w:sz w:val="21"/>
        </w:rPr>
        <w:t>Todo cambio relevante se documenta en el formato FOR-CAM-01, anexo companion de este procedimiento, que integra la solicitud, el analisis de impacto por las siete dimensiones del numeral 5.3, la aprobacion y el cierre en un solo registro. Sus campos minimos son:</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4986"/>
            <w:shd w:val="clear" w:fill="0056B4"/>
          </w:tcPr>
          <w:p>
            <w:pPr>
              <w:jc w:val="center"/>
            </w:pPr>
            <w:r/>
            <w:r>
              <w:rPr>
                <w:rFonts w:ascii="Calibri" w:hAnsi="Calibri"/>
                <w:b/>
                <w:color w:val="FFFFFF"/>
                <w:sz w:val="17"/>
              </w:rPr>
              <w:t>Campo</w:t>
            </w:r>
          </w:p>
        </w:tc>
        <w:tc>
          <w:tcPr>
            <w:tcW w:type="dxa" w:w="4986"/>
            <w:shd w:val="clear" w:fill="0056B4"/>
          </w:tcPr>
          <w:p>
            <w:pPr>
              <w:jc w:val="center"/>
            </w:pPr>
            <w:r/>
            <w:r>
              <w:rPr>
                <w:rFonts w:ascii="Calibri" w:hAnsi="Calibri"/>
                <w:b/>
                <w:color w:val="FFFFFF"/>
                <w:sz w:val="17"/>
              </w:rPr>
              <w:t>Descripcion</w:t>
            </w:r>
          </w:p>
        </w:tc>
      </w:tr>
      <w:tr>
        <w:tc>
          <w:tcPr>
            <w:tcW w:type="dxa" w:w="4986"/>
          </w:tcPr>
          <w:p>
            <w:r/>
            <w:r>
              <w:rPr>
                <w:rFonts w:ascii="Calibri" w:hAnsi="Calibri"/>
                <w:b w:val="0"/>
                <w:sz w:val="19"/>
              </w:rPr>
              <w:t>Folio</w:t>
            </w:r>
          </w:p>
        </w:tc>
        <w:tc>
          <w:tcPr>
            <w:tcW w:type="dxa" w:w="4986"/>
          </w:tcPr>
          <w:p>
            <w:r/>
            <w:r>
              <w:rPr>
                <w:rFonts w:ascii="Calibri" w:hAnsi="Calibri"/>
                <w:b w:val="0"/>
                <w:sz w:val="19"/>
              </w:rPr>
              <w:t>Consecutivo unico del cambio.</w:t>
            </w:r>
          </w:p>
        </w:tc>
      </w:tr>
      <w:tr>
        <w:tc>
          <w:tcPr>
            <w:tcW w:type="dxa" w:w="4986"/>
          </w:tcPr>
          <w:p>
            <w:r/>
            <w:r>
              <w:rPr>
                <w:rFonts w:ascii="Calibri" w:hAnsi="Calibri"/>
                <w:b w:val="0"/>
                <w:sz w:val="19"/>
              </w:rPr>
              <w:t>Fecha de solicitud</w:t>
            </w:r>
          </w:p>
        </w:tc>
        <w:tc>
          <w:tcPr>
            <w:tcW w:type="dxa" w:w="4986"/>
          </w:tcPr>
          <w:p>
            <w:r/>
            <w:r>
              <w:rPr>
                <w:rFonts w:ascii="Calibri" w:hAnsi="Calibri"/>
                <w:b w:val="0"/>
                <w:sz w:val="19"/>
              </w:rPr>
              <w:t>Fecha en que se documenta el cambio.</w:t>
            </w:r>
          </w:p>
        </w:tc>
      </w:tr>
      <w:tr>
        <w:tc>
          <w:tcPr>
            <w:tcW w:type="dxa" w:w="4986"/>
          </w:tcPr>
          <w:p>
            <w:r/>
            <w:r>
              <w:rPr>
                <w:rFonts w:ascii="Calibri" w:hAnsi="Calibri"/>
                <w:b w:val="0"/>
                <w:sz w:val="19"/>
              </w:rPr>
              <w:t>Solicitante</w:t>
            </w:r>
          </w:p>
        </w:tc>
        <w:tc>
          <w:tcPr>
            <w:tcW w:type="dxa" w:w="4986"/>
          </w:tcPr>
          <w:p>
            <w:r/>
            <w:r>
              <w:rPr>
                <w:rFonts w:ascii="Calibri" w:hAnsi="Calibri"/>
                <w:b w:val="0"/>
                <w:sz w:val="19"/>
              </w:rPr>
              <w:t>Nombre y area que propone el cambio.</w:t>
            </w:r>
          </w:p>
        </w:tc>
      </w:tr>
      <w:tr>
        <w:tc>
          <w:tcPr>
            <w:tcW w:type="dxa" w:w="4986"/>
          </w:tcPr>
          <w:p>
            <w:r/>
            <w:r>
              <w:rPr>
                <w:rFonts w:ascii="Calibri" w:hAnsi="Calibri"/>
                <w:b w:val="0"/>
                <w:sz w:val="19"/>
              </w:rPr>
              <w:t>Tipo de cambio</w:t>
            </w:r>
          </w:p>
        </w:tc>
        <w:tc>
          <w:tcPr>
            <w:tcW w:type="dxa" w:w="4986"/>
          </w:tcPr>
          <w:p>
            <w:r/>
            <w:r>
              <w:rPr>
                <w:rFonts w:ascii="Calibri" w:hAnsi="Calibri"/>
                <w:b w:val="0"/>
                <w:sz w:val="19"/>
              </w:rPr>
              <w:t>Nuevo proveedor / Ingreso de personal / Nuevo tipo de proyecto / Otro.</w:t>
            </w:r>
          </w:p>
        </w:tc>
      </w:tr>
      <w:tr>
        <w:tc>
          <w:tcPr>
            <w:tcW w:type="dxa" w:w="4986"/>
          </w:tcPr>
          <w:p>
            <w:r/>
            <w:r>
              <w:rPr>
                <w:rFonts w:ascii="Calibri" w:hAnsi="Calibri"/>
                <w:b w:val="0"/>
                <w:sz w:val="19"/>
              </w:rPr>
              <w:t>Descripcion y justificacion</w:t>
            </w:r>
          </w:p>
        </w:tc>
        <w:tc>
          <w:tcPr>
            <w:tcW w:type="dxa" w:w="4986"/>
          </w:tcPr>
          <w:p>
            <w:r/>
            <w:r>
              <w:rPr>
                <w:rFonts w:ascii="Calibri" w:hAnsi="Calibri"/>
                <w:b w:val="0"/>
                <w:sz w:val="19"/>
              </w:rPr>
              <w:t>Que se cambia, por que y resultados esperados (datos del cambio).</w:t>
            </w:r>
          </w:p>
        </w:tc>
      </w:tr>
      <w:tr>
        <w:tc>
          <w:tcPr>
            <w:tcW w:type="dxa" w:w="4986"/>
          </w:tcPr>
          <w:p>
            <w:r/>
            <w:r>
              <w:rPr>
                <w:rFonts w:ascii="Calibri" w:hAnsi="Calibri"/>
                <w:b w:val="0"/>
                <w:sz w:val="19"/>
              </w:rPr>
              <w:t>Analisis de impacto</w:t>
            </w:r>
          </w:p>
        </w:tc>
        <w:tc>
          <w:tcPr>
            <w:tcW w:type="dxa" w:w="4986"/>
          </w:tcPr>
          <w:p>
            <w:r/>
            <w:r>
              <w:rPr>
                <w:rFonts w:ascii="Calibri" w:hAnsi="Calibri"/>
                <w:b w:val="0"/>
                <w:sz w:val="19"/>
              </w:rPr>
              <w:t>Evaluacion de las siete dimensiones del numeral 5.3: (1) proposito y resultados esperados; (2) procesos, documentos y areas del SGC afectados; (3) recursos necesarios (personas, infraestructura, presupuesto e informacion); (4) competencias requeridas y capacitacion; (5) riesgos y oportunidades con vinculo a MAT-RIE-001; (6) requisitos del cliente, legales, reglamentarios y normativos; (7) impacto sobre la integridad del SGC, responsabilidades y autoridades.</w:t>
            </w:r>
          </w:p>
        </w:tc>
      </w:tr>
      <w:tr>
        <w:tc>
          <w:tcPr>
            <w:tcW w:type="dxa" w:w="4986"/>
          </w:tcPr>
          <w:p>
            <w:r/>
            <w:r>
              <w:rPr>
                <w:rFonts w:ascii="Calibri" w:hAnsi="Calibri"/>
                <w:b w:val="0"/>
                <w:sz w:val="19"/>
              </w:rPr>
              <w:t>Nivel de impacto</w:t>
            </w:r>
          </w:p>
        </w:tc>
        <w:tc>
          <w:tcPr>
            <w:tcW w:type="dxa" w:w="4986"/>
          </w:tcPr>
          <w:p>
            <w:r/>
            <w:r>
              <w:rPr>
                <w:rFonts w:ascii="Calibri" w:hAnsi="Calibri"/>
                <w:b w:val="0"/>
                <w:sz w:val="19"/>
              </w:rPr>
              <w:t>Bajo / Medio / Alto, conforme al numeral 5.4.</w:t>
            </w:r>
          </w:p>
        </w:tc>
      </w:tr>
      <w:tr>
        <w:tc>
          <w:tcPr>
            <w:tcW w:type="dxa" w:w="4986"/>
          </w:tcPr>
          <w:p>
            <w:r/>
            <w:r>
              <w:rPr>
                <w:rFonts w:ascii="Calibri" w:hAnsi="Calibri"/>
                <w:b w:val="0"/>
                <w:sz w:val="19"/>
              </w:rPr>
              <w:t>Recursos requeridos</w:t>
            </w:r>
          </w:p>
        </w:tc>
        <w:tc>
          <w:tcPr>
            <w:tcW w:type="dxa" w:w="4986"/>
          </w:tcPr>
          <w:p>
            <w:r/>
            <w:r>
              <w:rPr>
                <w:rFonts w:ascii="Calibri" w:hAnsi="Calibri"/>
                <w:b w:val="0"/>
                <w:sz w:val="19"/>
              </w:rPr>
              <w:t>Personas, infraestructura, presupuesto e informacion.</w:t>
            </w:r>
          </w:p>
        </w:tc>
      </w:tr>
      <w:tr>
        <w:tc>
          <w:tcPr>
            <w:tcW w:type="dxa" w:w="4986"/>
          </w:tcPr>
          <w:p>
            <w:r/>
            <w:r>
              <w:rPr>
                <w:rFonts w:ascii="Calibri" w:hAnsi="Calibri"/>
                <w:b w:val="0"/>
                <w:sz w:val="19"/>
              </w:rPr>
              <w:t>Plan de implementacion</w:t>
            </w:r>
          </w:p>
        </w:tc>
        <w:tc>
          <w:tcPr>
            <w:tcW w:type="dxa" w:w="4986"/>
          </w:tcPr>
          <w:p>
            <w:r/>
            <w:r>
              <w:rPr>
                <w:rFonts w:ascii="Calibri" w:hAnsi="Calibri"/>
                <w:b w:val="0"/>
                <w:sz w:val="19"/>
              </w:rPr>
              <w:t>Actividades y secuencia para ejecutar el cambio aprobado, incluyendo los documentos del SGC que se deben actualizar.</w:t>
            </w:r>
          </w:p>
        </w:tc>
      </w:tr>
      <w:tr>
        <w:tc>
          <w:tcPr>
            <w:tcW w:type="dxa" w:w="4986"/>
          </w:tcPr>
          <w:p>
            <w:r/>
            <w:r>
              <w:rPr>
                <w:rFonts w:ascii="Calibri" w:hAnsi="Calibri"/>
                <w:b w:val="0"/>
                <w:sz w:val="19"/>
              </w:rPr>
              <w:t>Responsable de implementacion</w:t>
            </w:r>
          </w:p>
        </w:tc>
        <w:tc>
          <w:tcPr>
            <w:tcW w:type="dxa" w:w="4986"/>
          </w:tcPr>
          <w:p>
            <w:r/>
            <w:r>
              <w:rPr>
                <w:rFonts w:ascii="Calibri" w:hAnsi="Calibri"/>
                <w:b w:val="0"/>
                <w:sz w:val="19"/>
              </w:rPr>
              <w:t>Quien ejecuta el cambio aprobado.</w:t>
            </w:r>
          </w:p>
        </w:tc>
      </w:tr>
      <w:tr>
        <w:tc>
          <w:tcPr>
            <w:tcW w:type="dxa" w:w="4986"/>
          </w:tcPr>
          <w:p>
            <w:r/>
            <w:r>
              <w:rPr>
                <w:rFonts w:ascii="Calibri" w:hAnsi="Calibri"/>
                <w:b w:val="0"/>
                <w:sz w:val="19"/>
              </w:rPr>
              <w:t>Fecha planificada</w:t>
            </w:r>
          </w:p>
        </w:tc>
        <w:tc>
          <w:tcPr>
            <w:tcW w:type="dxa" w:w="4986"/>
          </w:tcPr>
          <w:p>
            <w:r/>
            <w:r>
              <w:rPr>
                <w:rFonts w:ascii="Calibri" w:hAnsi="Calibri"/>
                <w:b w:val="0"/>
                <w:sz w:val="19"/>
              </w:rPr>
              <w:t>Fecha objetivo de implementacion.</w:t>
            </w:r>
          </w:p>
        </w:tc>
      </w:tr>
      <w:tr>
        <w:tc>
          <w:tcPr>
            <w:tcW w:type="dxa" w:w="4986"/>
          </w:tcPr>
          <w:p>
            <w:r/>
            <w:r>
              <w:rPr>
                <w:rFonts w:ascii="Calibri" w:hAnsi="Calibri"/>
                <w:b w:val="0"/>
                <w:sz w:val="19"/>
              </w:rPr>
              <w:t>Aprobacion</w:t>
            </w:r>
          </w:p>
        </w:tc>
        <w:tc>
          <w:tcPr>
            <w:tcW w:type="dxa" w:w="4986"/>
          </w:tcPr>
          <w:p>
            <w:r/>
            <w:r>
              <w:rPr>
                <w:rFonts w:ascii="Calibri" w:hAnsi="Calibri"/>
                <w:b w:val="0"/>
                <w:sz w:val="19"/>
              </w:rPr>
              <w:t>Nombre y rol del aprobador, decision (aprobado o rechazado), fecha y firma.</w:t>
            </w:r>
          </w:p>
        </w:tc>
      </w:tr>
      <w:tr>
        <w:tc>
          <w:tcPr>
            <w:tcW w:type="dxa" w:w="4986"/>
          </w:tcPr>
          <w:p>
            <w:r/>
            <w:r>
              <w:rPr>
                <w:rFonts w:ascii="Calibri" w:hAnsi="Calibri"/>
                <w:b w:val="0"/>
                <w:sz w:val="19"/>
              </w:rPr>
              <w:t>Verificacion de cierre</w:t>
            </w:r>
          </w:p>
        </w:tc>
        <w:tc>
          <w:tcPr>
            <w:tcW w:type="dxa" w:w="4986"/>
          </w:tcPr>
          <w:p>
            <w:r/>
            <w:r>
              <w:rPr>
                <w:rFonts w:ascii="Calibri" w:hAnsi="Calibri"/>
                <w:b w:val="0"/>
                <w:sz w:val="19"/>
              </w:rPr>
              <w:t>Resultado obtenido, fecha y responsable de la verificacion.</w:t>
            </w:r>
          </w:p>
        </w:tc>
      </w:tr>
      <w:tr>
        <w:tc>
          <w:tcPr>
            <w:tcW w:type="dxa" w:w="4986"/>
          </w:tcPr>
          <w:p>
            <w:r/>
            <w:r>
              <w:rPr>
                <w:rFonts w:ascii="Calibri" w:hAnsi="Calibri"/>
                <w:b w:val="0"/>
                <w:sz w:val="19"/>
              </w:rPr>
              <w:t>Estado</w:t>
            </w:r>
          </w:p>
        </w:tc>
        <w:tc>
          <w:tcPr>
            <w:tcW w:type="dxa" w:w="4986"/>
          </w:tcPr>
          <w:p>
            <w:r/>
            <w:r>
              <w:rPr>
                <w:rFonts w:ascii="Calibri" w:hAnsi="Calibri"/>
                <w:b w:val="0"/>
                <w:sz w:val="19"/>
              </w:rPr>
              <w:t>Solicitado / Aprobado / Rechazado / Implementado / Cerrado.</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Este formato constituye el anexo companion del procedimiento y queda listo para usarse en el proximo cambio relevante. La captura se realiza campo por campo conforme al flujo del numeral 5.1, y el registro resultante se controla segun la seccion 7.</w:t>
            </w:r>
          </w:p>
        </w:tc>
      </w:tr>
    </w:tbl>
    <w:p>
      <w:pPr>
        <w:spacing w:after="40"/>
      </w:pP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Confirmar el medio de captura del formato FOR-CAM-01 (impreso o digital) para su integracion al control de informacion documentada del SGC.</w:t>
            </w:r>
          </w:p>
        </w:tc>
      </w:tr>
    </w:tbl>
    <w:p>
      <w:pPr>
        <w:spacing w:after="40"/>
      </w:pPr>
    </w:p>
    <w:p>
      <w:pPr>
        <w:keepNext/>
        <w:spacing w:before="280" w:after="80"/>
        <w:pBdr>
          <w:bottom w:val="single" w:sz="8" w:color="F0E528"/>
        </w:pBdr>
      </w:pPr>
      <w:r>
        <w:rPr>
          <w:rFonts w:ascii="Georgia" w:hAnsi="Georgia"/>
          <w:b/>
          <w:color w:val="0056B4"/>
          <w:sz w:val="26"/>
        </w:rPr>
        <w:t>7. Registros</w:t>
      </w:r>
    </w:p>
    <w:p>
      <w:pPr>
        <w:spacing w:after="120"/>
      </w:pPr>
      <w:r>
        <w:rPr>
          <w:rFonts w:ascii="Calibri" w:hAnsi="Calibri"/>
          <w:color w:val="1C242E"/>
          <w:sz w:val="21"/>
        </w:rPr>
        <w:t>Los registros generados por este procedimiento se controlan conforme al requisito 7.5.3 de ISO 9001:2015 (identificacion, ubicacion, resguardo, tiempo de conservacion y disposicion final).</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1662"/>
        <w:gridCol w:w="1662"/>
        <w:gridCol w:w="1662"/>
        <w:gridCol w:w="1662"/>
        <w:gridCol w:w="1662"/>
        <w:gridCol w:w="1662"/>
      </w:tblGrid>
      <w:tr>
        <w:tc>
          <w:tcPr>
            <w:tcW w:type="dxa" w:w="1662"/>
            <w:shd w:val="clear" w:fill="0056B4"/>
          </w:tcPr>
          <w:p>
            <w:pPr>
              <w:jc w:val="center"/>
            </w:pPr>
            <w:r/>
            <w:r>
              <w:rPr>
                <w:rFonts w:ascii="Calibri" w:hAnsi="Calibri"/>
                <w:b/>
                <w:color w:val="FFFFFF"/>
                <w:sz w:val="17"/>
              </w:rPr>
              <w:t>Registro</w:t>
            </w:r>
          </w:p>
        </w:tc>
        <w:tc>
          <w:tcPr>
            <w:tcW w:type="dxa" w:w="1662"/>
            <w:shd w:val="clear" w:fill="0056B4"/>
          </w:tcPr>
          <w:p>
            <w:pPr>
              <w:jc w:val="center"/>
            </w:pPr>
            <w:r/>
            <w:r>
              <w:rPr>
                <w:rFonts w:ascii="Calibri" w:hAnsi="Calibri"/>
                <w:b/>
                <w:color w:val="FFFFFF"/>
                <w:sz w:val="17"/>
              </w:rPr>
              <w:t>Codigo</w:t>
            </w:r>
          </w:p>
        </w:tc>
        <w:tc>
          <w:tcPr>
            <w:tcW w:type="dxa" w:w="1662"/>
            <w:shd w:val="clear" w:fill="0056B4"/>
          </w:tcPr>
          <w:p>
            <w:pPr>
              <w:jc w:val="center"/>
            </w:pPr>
            <w:r/>
            <w:r>
              <w:rPr>
                <w:rFonts w:ascii="Calibri" w:hAnsi="Calibri"/>
                <w:b/>
                <w:color w:val="FFFFFF"/>
                <w:sz w:val="17"/>
              </w:rPr>
              <w:t>Responsable de resguardo</w:t>
            </w:r>
          </w:p>
        </w:tc>
        <w:tc>
          <w:tcPr>
            <w:tcW w:type="dxa" w:w="1662"/>
            <w:shd w:val="clear" w:fill="0056B4"/>
          </w:tcPr>
          <w:p>
            <w:pPr>
              <w:jc w:val="center"/>
            </w:pPr>
            <w:r/>
            <w:r>
              <w:rPr>
                <w:rFonts w:ascii="Calibri" w:hAnsi="Calibri"/>
                <w:b/>
                <w:color w:val="FFFFFF"/>
                <w:sz w:val="17"/>
              </w:rPr>
              <w:t>Ubicacion / medio</w:t>
            </w:r>
          </w:p>
        </w:tc>
        <w:tc>
          <w:tcPr>
            <w:tcW w:type="dxa" w:w="1662"/>
            <w:shd w:val="clear" w:fill="0056B4"/>
          </w:tcPr>
          <w:p>
            <w:pPr>
              <w:jc w:val="center"/>
            </w:pPr>
            <w:r/>
            <w:r>
              <w:rPr>
                <w:rFonts w:ascii="Calibri" w:hAnsi="Calibri"/>
                <w:b/>
                <w:color w:val="FFFFFF"/>
                <w:sz w:val="17"/>
              </w:rPr>
              <w:t>Tiempo de conservacion</w:t>
            </w:r>
          </w:p>
        </w:tc>
        <w:tc>
          <w:tcPr>
            <w:tcW w:type="dxa" w:w="1662"/>
            <w:shd w:val="clear" w:fill="0056B4"/>
          </w:tcPr>
          <w:p>
            <w:pPr>
              <w:jc w:val="center"/>
            </w:pPr>
            <w:r/>
            <w:r>
              <w:rPr>
                <w:rFonts w:ascii="Calibri" w:hAnsi="Calibri"/>
                <w:b/>
                <w:color w:val="FFFFFF"/>
                <w:sz w:val="17"/>
              </w:rPr>
              <w:t>Disposicion final</w:t>
            </w:r>
          </w:p>
        </w:tc>
      </w:tr>
      <w:tr>
        <w:tc>
          <w:tcPr>
            <w:tcW w:type="dxa" w:w="1662"/>
          </w:tcPr>
          <w:p>
            <w:r/>
            <w:r>
              <w:rPr>
                <w:rFonts w:ascii="Calibri" w:hAnsi="Calibri"/>
                <w:b w:val="0"/>
                <w:sz w:val="19"/>
              </w:rPr>
              <w:t>Solicitud y control de cambios</w:t>
            </w:r>
          </w:p>
        </w:tc>
        <w:tc>
          <w:tcPr>
            <w:tcW w:type="dxa" w:w="1662"/>
          </w:tcPr>
          <w:p>
            <w:r/>
            <w:r>
              <w:rPr>
                <w:rFonts w:ascii="Calibri" w:hAnsi="Calibri"/>
                <w:b w:val="0"/>
                <w:sz w:val="19"/>
              </w:rPr>
              <w:t>FOR-CAM-01</w:t>
            </w:r>
          </w:p>
        </w:tc>
        <w:tc>
          <w:tcPr>
            <w:tcW w:type="dxa" w:w="1662"/>
          </w:tcPr>
          <w:p>
            <w:r/>
            <w:r>
              <w:rPr>
                <w:rFonts w:ascii="Calibri" w:hAnsi="Calibri"/>
                <w:b w:val="0"/>
                <w:sz w:val="19"/>
              </w:rPr>
              <w:t>Gerencia Administrativa</w:t>
            </w:r>
          </w:p>
        </w:tc>
        <w:tc>
          <w:tcPr>
            <w:tcW w:type="dxa" w:w="1662"/>
          </w:tcPr>
          <w:p>
            <w:r/>
            <w:r>
              <w:rPr>
                <w:rFonts w:ascii="Calibri" w:hAnsi="Calibri"/>
                <w:b w:val="0"/>
                <w:sz w:val="19"/>
              </w:rPr>
              <w:t>Control de informacion documentada del SGC (hub documental)</w:t>
            </w:r>
          </w:p>
        </w:tc>
        <w:tc>
          <w:tcPr>
            <w:tcW w:type="dxa" w:w="1662"/>
          </w:tcPr>
          <w:p>
            <w:r/>
            <w:r>
              <w:rPr>
                <w:rFonts w:ascii="Calibri" w:hAnsi="Calibri"/>
                <w:b w:val="0"/>
                <w:sz w:val="19"/>
              </w:rPr>
              <w:t>Por definir</w:t>
            </w:r>
          </w:p>
        </w:tc>
        <w:tc>
          <w:tcPr>
            <w:tcW w:type="dxa" w:w="1662"/>
          </w:tcPr>
          <w:p>
            <w:r/>
            <w:r>
              <w:rPr>
                <w:rFonts w:ascii="Calibri" w:hAnsi="Calibri"/>
                <w:b w:val="0"/>
                <w:sz w:val="19"/>
              </w:rPr>
              <w:t>Por definir</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Definir la ubicacion exacta y el medio (impreso o digital) de resguardo de los registros FOR-CAM-01 dentro del control de informacion documentada del SGC.</w:t>
            </w:r>
          </w:p>
        </w:tc>
      </w:tr>
    </w:tbl>
    <w:p>
      <w:pPr>
        <w:spacing w:after="40"/>
      </w:pP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Definir el tiempo de conservacion y la disposicion final de los registros FOR-CAM-01 conforme al control de informacion documentada del SGC (ISO 9001:2015, requisito 7.5.3).</w:t>
            </w:r>
          </w:p>
        </w:tc>
      </w:tr>
    </w:tbl>
    <w:p>
      <w:pPr>
        <w:spacing w:after="40"/>
      </w:pPr>
    </w:p>
    <w:p>
      <w:pPr>
        <w:keepNext/>
        <w:spacing w:before="280" w:after="80"/>
        <w:pBdr>
          <w:bottom w:val="single" w:sz="8" w:color="F0E528"/>
        </w:pBdr>
      </w:pPr>
      <w:r>
        <w:rPr>
          <w:rFonts w:ascii="Georgia" w:hAnsi="Georgia"/>
          <w:b/>
          <w:color w:val="0056B4"/>
          <w:sz w:val="26"/>
        </w:rPr>
        <w:t>8. Referencias</w:t>
      </w:r>
    </w:p>
    <w:p>
      <w:pPr>
        <w:pStyle w:val="ListBullet"/>
      </w:pPr>
      <w:r>
        <w:rPr>
          <w:rFonts w:ascii="Calibri" w:hAnsi="Calibri"/>
          <w:sz w:val="20"/>
        </w:rPr>
        <w:t>ISO 9001:2015, clausula 6.3 Planificacion de los cambios (y su relacion con 6.1 Riesgos y oportunidades, 7.1 Recursos, 7.2 Competencia y 7.5.3 Control de la informacion documentada).</w:t>
      </w:r>
    </w:p>
    <w:p>
      <w:pPr>
        <w:pStyle w:val="ListBullet"/>
      </w:pPr>
      <w:r>
        <w:rPr>
          <w:rFonts w:ascii="Calibri" w:hAnsi="Calibri"/>
          <w:sz w:val="20"/>
        </w:rPr>
        <w:t>Manual de Calidad MC-SP-01.</w:t>
      </w:r>
    </w:p>
    <w:p>
      <w:pPr>
        <w:pStyle w:val="ListBullet"/>
      </w:pPr>
      <w:r>
        <w:rPr>
          <w:rFonts w:ascii="Calibri" w:hAnsi="Calibri"/>
          <w:sz w:val="20"/>
        </w:rPr>
        <w:t>Procedimiento de proveedores PRO-PRV-001.</w:t>
      </w:r>
    </w:p>
    <w:p>
      <w:pPr>
        <w:pStyle w:val="ListBullet"/>
      </w:pPr>
      <w:r>
        <w:rPr>
          <w:rFonts w:ascii="Calibri" w:hAnsi="Calibri"/>
          <w:sz w:val="20"/>
        </w:rPr>
        <w:t>Matriz de riesgos MAT-RIE-001.</w:t>
      </w:r>
    </w:p>
    <w:p>
      <w:pPr>
        <w:pStyle w:val="ListBullet"/>
      </w:pPr>
      <w:r>
        <w:rPr>
          <w:rFonts w:ascii="Calibri" w:hAnsi="Calibri"/>
          <w:sz w:val="20"/>
        </w:rPr>
        <w:t>Formato de solicitud y control de cambios FOR-CAM-01 (anexo de este procedimiento).</w:t>
      </w:r>
    </w:p>
    <w:p>
      <w:pPr>
        <w:pStyle w:val="ListBullet"/>
      </w:pPr>
      <w:r>
        <w:rPr>
          <w:rFonts w:ascii="Calibri" w:hAnsi="Calibri"/>
          <w:sz w:val="20"/>
        </w:rPr>
        <w:t>Plan de capacitacion.</w:t>
      </w:r>
    </w:p>
    <w:p>
      <w:pPr>
        <w:pStyle w:val="ListBullet"/>
      </w:pPr>
      <w:r>
        <w:rPr>
          <w:rFonts w:ascii="Calibri" w:hAnsi="Calibri"/>
          <w:sz w:val="20"/>
        </w:rPr>
        <w:t>Perfiles de puesto ISO.</w:t>
      </w:r>
    </w:p>
    <w:p>
      <w:pPr>
        <w:pStyle w:val="ListBullet"/>
      </w:pPr>
      <w:r>
        <w:rPr>
          <w:rFonts w:ascii="Calibri" w:hAnsi="Calibri"/>
          <w:sz w:val="20"/>
        </w:rPr>
        <w:t>Procedimiento de acciones correctivas PRO-AC-001.</w:t>
      </w:r>
    </w:p>
    <w:p>
      <w:pPr>
        <w:pStyle w:val="ListBullet"/>
      </w:pPr>
      <w:r>
        <w:rPr>
          <w:rFonts w:ascii="Calibri" w:hAnsi="Calibri"/>
          <w:sz w:val="20"/>
        </w:rPr>
        <w:t>Bitacora de no conformidades REG-NCA-001.</w:t>
      </w:r>
    </w:p>
    <w:p>
      <w:pPr>
        <w:keepNext/>
        <w:spacing w:before="280" w:after="80"/>
        <w:pBdr>
          <w:bottom w:val="single" w:sz="8" w:color="F0E528"/>
        </w:pBdr>
      </w:pPr>
      <w:r>
        <w:rPr>
          <w:rFonts w:ascii="Georgia" w:hAnsi="Georgia"/>
          <w:b/>
          <w:color w:val="0056B4"/>
          <w:sz w:val="26"/>
        </w:rPr>
        <w:t>9. Historial de versiones del documento</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2493"/>
            <w:shd w:val="clear" w:fill="0056B4"/>
          </w:tcPr>
          <w:p>
            <w:pPr>
              <w:jc w:val="center"/>
            </w:pPr>
            <w:r/>
            <w:r>
              <w:rPr>
                <w:rFonts w:ascii="Calibri" w:hAnsi="Calibri"/>
                <w:b/>
                <w:color w:val="FFFFFF"/>
                <w:sz w:val="17"/>
              </w:rPr>
              <w:t>Version</w:t>
            </w:r>
          </w:p>
        </w:tc>
        <w:tc>
          <w:tcPr>
            <w:tcW w:type="dxa" w:w="2493"/>
            <w:shd w:val="clear" w:fill="0056B4"/>
          </w:tcPr>
          <w:p>
            <w:pPr>
              <w:jc w:val="center"/>
            </w:pPr>
            <w:r/>
            <w:r>
              <w:rPr>
                <w:rFonts w:ascii="Calibri" w:hAnsi="Calibri"/>
                <w:b/>
                <w:color w:val="FFFFFF"/>
                <w:sz w:val="17"/>
              </w:rPr>
              <w:t>Fecha</w:t>
            </w:r>
          </w:p>
        </w:tc>
        <w:tc>
          <w:tcPr>
            <w:tcW w:type="dxa" w:w="2493"/>
            <w:shd w:val="clear" w:fill="0056B4"/>
          </w:tcPr>
          <w:p>
            <w:pPr>
              <w:jc w:val="center"/>
            </w:pPr>
            <w:r/>
            <w:r>
              <w:rPr>
                <w:rFonts w:ascii="Calibri" w:hAnsi="Calibri"/>
                <w:b/>
                <w:color w:val="FFFFFF"/>
                <w:sz w:val="17"/>
              </w:rPr>
              <w:t>Descripcion del cambio</w:t>
            </w:r>
          </w:p>
        </w:tc>
        <w:tc>
          <w:tcPr>
            <w:tcW w:type="dxa" w:w="2493"/>
            <w:shd w:val="clear" w:fill="0056B4"/>
          </w:tcPr>
          <w:p>
            <w:pPr>
              <w:jc w:val="center"/>
            </w:pPr>
            <w:r/>
            <w:r>
              <w:rPr>
                <w:rFonts w:ascii="Calibri" w:hAnsi="Calibri"/>
                <w:b/>
                <w:color w:val="FFFFFF"/>
                <w:sz w:val="17"/>
              </w:rPr>
              <w:t>Elaboro</w:t>
            </w:r>
          </w:p>
        </w:tc>
      </w:tr>
      <w:tr>
        <w:tc>
          <w:tcPr>
            <w:tcW w:type="dxa" w:w="2493"/>
          </w:tcPr>
          <w:p>
            <w:r/>
            <w:r>
              <w:rPr>
                <w:rFonts w:ascii="Calibri" w:hAnsi="Calibri"/>
                <w:b w:val="0"/>
                <w:sz w:val="19"/>
              </w:rPr>
              <w:t>01</w:t>
            </w:r>
          </w:p>
        </w:tc>
        <w:tc>
          <w:tcPr>
            <w:tcW w:type="dxa" w:w="2493"/>
          </w:tcPr>
          <w:p>
            <w:r/>
            <w:r>
              <w:rPr>
                <w:rFonts w:ascii="Calibri" w:hAnsi="Calibri"/>
                <w:b w:val="0"/>
                <w:sz w:val="19"/>
              </w:rPr>
              <w:t>17-09-2026</w:t>
            </w:r>
          </w:p>
        </w:tc>
        <w:tc>
          <w:tcPr>
            <w:tcW w:type="dxa" w:w="2493"/>
          </w:tcPr>
          <w:p>
            <w:r/>
            <w:r>
              <w:rPr>
                <w:rFonts w:ascii="Calibri" w:hAnsi="Calibri"/>
                <w:b w:val="0"/>
                <w:sz w:val="19"/>
              </w:rPr>
              <w:t>Emision inicial del procedimiento de Control de cambios (clausula 6.3 de ISO 9001:2015). Borrador para validacion de SolarPro.</w:t>
            </w:r>
          </w:p>
        </w:tc>
        <w:tc>
          <w:tcPr>
            <w:tcW w:type="dxa" w:w="2493"/>
          </w:tcPr>
          <w:p>
            <w:r/>
            <w:r>
              <w:rPr>
                <w:rFonts w:ascii="Calibri" w:hAnsi="Calibri"/>
                <w:b w:val="0"/>
                <w:sz w:val="19"/>
              </w:rPr>
              <w:t>DETA Consultores</w:t>
            </w:r>
          </w:p>
        </w:tc>
      </w:tr>
    </w:tbl>
    <w:p>
      <w:pPr>
        <w:keepNext/>
        <w:spacing w:before="280" w:after="80"/>
        <w:pBdr>
          <w:bottom w:val="single" w:sz="8" w:color="F0E528"/>
        </w:pBdr>
      </w:pPr>
      <w:r>
        <w:rPr>
          <w:rFonts w:ascii="Georgia" w:hAnsi="Georgia"/>
          <w:b/>
          <w:color w:val="0056B4"/>
          <w:sz w:val="26"/>
        </w:rPr>
        <w:t>FIRMAS</w:t>
      </w: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En estado de borrador para validacion, los campos de nombre, firma y fecha permanecen en blanco. Las firmas se aplican al aprobar formalmente el documento conforme al control de informacion documentada del SGC.</w:t>
            </w:r>
          </w:p>
        </w:tc>
      </w:tr>
    </w:tbl>
    <w:p>
      <w:pPr>
        <w:spacing w:after="40"/>
      </w:pP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2493"/>
            <w:shd w:val="clear" w:fill="0056B4"/>
          </w:tcPr>
          <w:p>
            <w:pPr>
              <w:jc w:val="center"/>
            </w:pPr>
            <w:r/>
            <w:r>
              <w:rPr>
                <w:rFonts w:ascii="Calibri" w:hAnsi="Calibri"/>
                <w:b/>
                <w:color w:val="FFFFFF"/>
                <w:sz w:val="17"/>
              </w:rPr>
              <w:t>Rol</w:t>
            </w:r>
          </w:p>
        </w:tc>
        <w:tc>
          <w:tcPr>
            <w:tcW w:type="dxa" w:w="2493"/>
            <w:shd w:val="clear" w:fill="0056B4"/>
          </w:tcPr>
          <w:p>
            <w:pPr>
              <w:jc w:val="center"/>
            </w:pPr>
            <w:r/>
            <w:r>
              <w:rPr>
                <w:rFonts w:ascii="Calibri" w:hAnsi="Calibri"/>
                <w:b/>
                <w:color w:val="FFFFFF"/>
                <w:sz w:val="17"/>
              </w:rPr>
              <w:t>Nombre y cargo</w:t>
            </w:r>
          </w:p>
        </w:tc>
        <w:tc>
          <w:tcPr>
            <w:tcW w:type="dxa" w:w="2493"/>
            <w:shd w:val="clear" w:fill="0056B4"/>
          </w:tcPr>
          <w:p>
            <w:pPr>
              <w:jc w:val="center"/>
            </w:pPr>
            <w:r/>
            <w:r>
              <w:rPr>
                <w:rFonts w:ascii="Calibri" w:hAnsi="Calibri"/>
                <w:b/>
                <w:color w:val="FFFFFF"/>
                <w:sz w:val="17"/>
              </w:rPr>
              <w:t>Firma</w:t>
            </w:r>
          </w:p>
        </w:tc>
        <w:tc>
          <w:tcPr>
            <w:tcW w:type="dxa" w:w="2493"/>
            <w:shd w:val="clear" w:fill="0056B4"/>
          </w:tcPr>
          <w:p>
            <w:pPr>
              <w:jc w:val="center"/>
            </w:pPr>
            <w:r/>
            <w:r>
              <w:rPr>
                <w:rFonts w:ascii="Calibri" w:hAnsi="Calibri"/>
                <w:b/>
                <w:color w:val="FFFFFF"/>
                <w:sz w:val="17"/>
              </w:rPr>
              <w:t>Fecha</w:t>
            </w:r>
          </w:p>
        </w:tc>
      </w:tr>
      <w:tr>
        <w:tc>
          <w:tcPr>
            <w:tcW w:type="dxa" w:w="2493"/>
          </w:tcPr>
          <w:p>
            <w:r/>
            <w:r>
              <w:rPr>
                <w:rFonts w:ascii="Calibri" w:hAnsi="Calibri"/>
                <w:b w:val="0"/>
                <w:sz w:val="19"/>
              </w:rPr>
              <w:t>Elaboro</w:t>
            </w:r>
          </w:p>
        </w:tc>
        <w:tc>
          <w:tcPr>
            <w:tcW w:type="dxa" w:w="2493"/>
          </w:tcPr>
          <w:p>
            <w:r/>
            <w:r>
              <w:rPr>
                <w:rFonts w:ascii="Calibri" w:hAnsi="Calibri"/>
                <w:b w:val="0"/>
                <w:sz w:val="19"/>
              </w:rPr>
              <w:t>DETA Consultores</w:t>
            </w:r>
          </w:p>
        </w:tc>
        <w:tc>
          <w:tcPr>
            <w:tcW w:type="dxa" w:w="2493"/>
          </w:tcPr>
          <w:p>
            <w:r/>
            <w:r>
              <w:rPr>
                <w:rFonts w:ascii="Calibri" w:hAnsi="Calibri"/>
                <w:b w:val="0"/>
                <w:sz w:val="19"/>
              </w:rPr>
            </w:r>
          </w:p>
        </w:tc>
        <w:tc>
          <w:tcPr>
            <w:tcW w:type="dxa" w:w="2493"/>
          </w:tcPr>
          <w:p>
            <w:r/>
            <w:r>
              <w:rPr>
                <w:rFonts w:ascii="Calibri" w:hAnsi="Calibri"/>
                <w:b w:val="0"/>
                <w:sz w:val="19"/>
              </w:rPr>
            </w:r>
          </w:p>
        </w:tc>
      </w:tr>
      <w:tr>
        <w:tc>
          <w:tcPr>
            <w:tcW w:type="dxa" w:w="2493"/>
          </w:tcPr>
          <w:p>
            <w:r/>
            <w:r>
              <w:rPr>
                <w:rFonts w:ascii="Calibri" w:hAnsi="Calibri"/>
                <w:b w:val="0"/>
                <w:sz w:val="19"/>
              </w:rPr>
              <w:t>Reviso</w:t>
            </w:r>
          </w:p>
        </w:tc>
        <w:tc>
          <w:tcPr>
            <w:tcW w:type="dxa" w:w="2493"/>
          </w:tcPr>
          <w:p>
            <w:r/>
            <w:r>
              <w:rPr>
                <w:rFonts w:ascii="Calibri" w:hAnsi="Calibri"/>
                <w:b w:val="0"/>
                <w:sz w:val="19"/>
              </w:rPr>
              <w:t>Gerencia Administrativa (custodio del SGC)</w:t>
            </w:r>
          </w:p>
        </w:tc>
        <w:tc>
          <w:tcPr>
            <w:tcW w:type="dxa" w:w="2493"/>
          </w:tcPr>
          <w:p>
            <w:r/>
            <w:r>
              <w:rPr>
                <w:rFonts w:ascii="Calibri" w:hAnsi="Calibri"/>
                <w:b w:val="0"/>
                <w:sz w:val="19"/>
              </w:rPr>
            </w:r>
          </w:p>
        </w:tc>
        <w:tc>
          <w:tcPr>
            <w:tcW w:type="dxa" w:w="2493"/>
          </w:tcPr>
          <w:p>
            <w:r/>
            <w:r>
              <w:rPr>
                <w:rFonts w:ascii="Calibri" w:hAnsi="Calibri"/>
                <w:b w:val="0"/>
                <w:sz w:val="19"/>
              </w:rPr>
            </w:r>
          </w:p>
        </w:tc>
      </w:tr>
      <w:tr>
        <w:tc>
          <w:tcPr>
            <w:tcW w:type="dxa" w:w="2493"/>
          </w:tcPr>
          <w:p>
            <w:r/>
            <w:r>
              <w:rPr>
                <w:rFonts w:ascii="Calibri" w:hAnsi="Calibri"/>
                <w:b w:val="0"/>
                <w:sz w:val="19"/>
              </w:rPr>
              <w:t>Aprobo</w:t>
            </w:r>
          </w:p>
        </w:tc>
        <w:tc>
          <w:tcPr>
            <w:tcW w:type="dxa" w:w="2493"/>
          </w:tcPr>
          <w:p>
            <w:r/>
            <w:r>
              <w:rPr>
                <w:rFonts w:ascii="Calibri" w:hAnsi="Calibri"/>
                <w:b w:val="0"/>
                <w:sz w:val="19"/>
              </w:rPr>
              <w:t>Direccion General</w:t>
            </w:r>
          </w:p>
        </w:tc>
        <w:tc>
          <w:tcPr>
            <w:tcW w:type="dxa" w:w="2493"/>
          </w:tcPr>
          <w:p>
            <w:r/>
            <w:r>
              <w:rPr>
                <w:rFonts w:ascii="Calibri" w:hAnsi="Calibri"/>
                <w:b w:val="0"/>
                <w:sz w:val="19"/>
              </w:rPr>
            </w:r>
          </w:p>
        </w:tc>
        <w:tc>
          <w:tcPr>
            <w:tcW w:type="dxa" w:w="2493"/>
          </w:tcPr>
          <w:p>
            <w:r/>
            <w:r>
              <w:rPr>
                <w:rFonts w:ascii="Calibri" w:hAnsi="Calibri"/>
                <w:b w:val="0"/>
                <w:sz w:val="19"/>
              </w:rPr>
            </w:r>
          </w:p>
        </w:tc>
      </w:tr>
    </w:tbl>
    <w:p>
      <w:pPr>
        <w:keepNext/>
        <w:spacing w:before="280" w:after="80"/>
        <w:pBdr>
          <w:bottom w:val="single" w:sz="8" w:color="F0E528"/>
        </w:pBdr>
      </w:pPr>
      <w:r>
        <w:rPr>
          <w:rFonts w:ascii="Georgia" w:hAnsi="Georgia"/>
          <w:b/>
          <w:color w:val="0056B4"/>
          <w:sz w:val="26"/>
        </w:rPr>
        <w:t>APROBACIÓN</w:t>
      </w:r>
    </w:p>
    <w:p>
      <w:pPr>
        <w:spacing w:after="120"/>
      </w:pPr>
    </w:p>
    <w:p>
      <w:pPr>
        <w:keepNext/>
        <w:spacing w:after="320"/>
      </w:pPr>
    </w:p>
    <w:tbl>
      <w:tblPr>
        <w:tblW w:type="auto" w:w="0"/>
        <w:tblLook w:firstColumn="1" w:firstRow="1" w:lastColumn="0" w:lastRow="0" w:noHBand="0" w:noVBand="1" w:val="04A0"/>
      </w:tblPr>
      <w:tblGrid>
        <w:gridCol w:w="3324"/>
        <w:gridCol w:w="3324"/>
        <w:gridCol w:w="3324"/>
      </w:tblGrid>
      <w:tr>
        <w:tc>
          <w:tcPr>
            <w:tcW w:type="dxa" w:w="3324"/>
          </w:tcPr>
          <w:p>
            <w:pPr>
              <w:jc w:val="center"/>
            </w:pPr>
            <w:r/>
            <w:r>
              <w:rPr>
                <w:sz w:val="20"/>
              </w:rPr>
              <w:t>__________________________</w:t>
            </w:r>
          </w:p>
        </w:tc>
        <w:tc>
          <w:tcPr>
            <w:tcW w:type="dxa" w:w="3324"/>
          </w:tcPr>
          <w:p>
            <w:pPr>
              <w:jc w:val="center"/>
            </w:pPr>
            <w:r/>
            <w:r>
              <w:rPr>
                <w:sz w:val="20"/>
              </w:rPr>
              <w:t>__________________________</w:t>
            </w:r>
          </w:p>
        </w:tc>
        <w:tc>
          <w:tcPr>
            <w:tcW w:type="dxa" w:w="3324"/>
          </w:tcPr>
          <w:p>
            <w:pPr>
              <w:jc w:val="center"/>
            </w:pPr>
            <w:r/>
            <w:r>
              <w:rPr>
                <w:sz w:val="20"/>
              </w:rPr>
              <w:t>__________________________</w:t>
            </w:r>
          </w:p>
        </w:tc>
      </w:tr>
      <w:tr>
        <w:tc>
          <w:tcPr>
            <w:tcW w:type="dxa" w:w="3324"/>
          </w:tcPr>
          <w:p>
            <w:pPr>
              <w:jc w:val="center"/>
            </w:pPr>
            <w:r/>
            <w:r>
              <w:rPr>
                <w:rFonts w:ascii="Calibri" w:hAnsi="Calibri"/>
                <w:b w:val="0"/>
                <w:color w:val="595959"/>
                <w:sz w:val="17"/>
              </w:rPr>
              <w:t>Elaboró</w:t>
              <w:br/>
              <w:t>DETA Consultores</w:t>
            </w:r>
          </w:p>
        </w:tc>
        <w:tc>
          <w:tcPr>
            <w:tcW w:type="dxa" w:w="3324"/>
          </w:tcPr>
          <w:p>
            <w:pPr>
              <w:jc w:val="center"/>
            </w:pPr>
            <w:r/>
            <w:r>
              <w:rPr>
                <w:rFonts w:ascii="Calibri" w:hAnsi="Calibri"/>
                <w:b w:val="0"/>
                <w:color w:val="595959"/>
                <w:sz w:val="17"/>
              </w:rPr>
              <w:t>Revisó</w:t>
              <w:br/>
              <w:t>Gerencia Administrativa</w:t>
            </w:r>
          </w:p>
        </w:tc>
        <w:tc>
          <w:tcPr>
            <w:tcW w:type="dxa" w:w="3324"/>
          </w:tcPr>
          <w:p>
            <w:pPr>
              <w:jc w:val="center"/>
            </w:pPr>
            <w:r/>
            <w:r>
              <w:rPr>
                <w:rFonts w:ascii="Calibri" w:hAnsi="Calibri"/>
                <w:b w:val="0"/>
                <w:color w:val="595959"/>
                <w:sz w:val="17"/>
              </w:rPr>
              <w:t>Aprobó</w:t>
              <w:br/>
              <w:t>Dirección General</w:t>
            </w:r>
          </w:p>
        </w:tc>
      </w:tr>
    </w:tbl>
    <w:sectPr w:rsidR="00FC693F" w:rsidRPr="0006063C" w:rsidSect="00034616">
      <w:footerReference w:type="default" r:id="rId9"/>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Control de cambios · PRO-CAM-001 V1</w:t>
    </w:r>
    <w:r>
      <w:tab/>
    </w:r>
    <w:r>
      <w:rPr>
        <w:rFonts w:ascii="Calibri" w:hAnsi="Calibri"/>
        <w:sz w:val="16"/>
      </w:rPr>
      <w:fldChar w:fldCharType="begin"/>
    </w:r>
    <w:r>
      <w:rPr>
        <w:rFonts w:ascii="Calibri" w:hAnsi="Calibri"/>
        <w:sz w:val="16"/>
      </w:rPr>
      <w:instrText xml:space="preserve"> PAGE </w:instrText>
    </w:r>
    <w:r>
      <w:fldChar w:fldCharType="separate"/>
    </w:r>
    <w:r>
      <w:rPr>
        <w:rFonts w:ascii="Calibri" w:hAnsi="Calibri"/>
        <w:sz w:val="16"/>
      </w:rPr>
      <w:t>1</w:t>
    </w:r>
    <w:r>
      <w:fldChar w:fldCharType="end"/>
    </w:r>
    <w:r>
      <w:rPr>
        <w:color w:val="595959"/>
        <w:sz w:val="15"/>
      </w:rPr>
      <w:t xml:space="preserve"> / </w:t>
    </w:r>
    <w:r>
      <w:rPr>
        <w:rFonts w:ascii="Calibri" w:hAnsi="Calibri"/>
        <w:sz w:val="16"/>
      </w:rPr>
      <w:fldChar w:fldCharType="begin"/>
    </w:r>
    <w:r>
      <w:rPr>
        <w:rFonts w:ascii="Calibri" w:hAnsi="Calibri"/>
        <w:sz w:val="16"/>
      </w:rPr>
      <w:instrText xml:space="preserve"> NUMPAGES </w:instrText>
    </w:r>
    <w:r>
      <w:fldChar w:fldCharType="separate"/>
    </w:r>
    <w:r>
      <w:rPr>
        <w:rFonts w:ascii="Calibri" w:hAnsi="Calibri"/>
        <w:sz w:val="16"/>
      </w:rPr>
      <w:t>1</w:t>
    </w:r>
    <w:r>
      <w:fldChar w:fldCharType="end"/>
    </w:r>
    <w:r>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