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Control de información documentada y codificación de formatos</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PRO-DOC-001  ·  Versión 1  ·  17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PRO-DOC-001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17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17 de septiembre de 2026</w:t>
            </w:r>
          </w:p>
        </w:tc>
        <w:tc>
          <w:tcPr>
            <w:tcW w:type="dxa" w:w="5584"/>
          </w:tcPr>
          <w:p>
            <w:r/>
            <w:r>
              <w:rPr>
                <w:rFonts w:ascii="Calibri" w:hAnsi="Calibri"/>
                <w:b w:val="0"/>
                <w:sz w:val="19"/>
              </w:rPr>
              <w:t>Emisión inicial derivada de la cláusula 7.5 del SGC (ISO 9001:2015).</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r>
        <w:br w:type="page"/>
      </w:r>
    </w:p>
    <w:p>
      <w:pPr>
        <w:keepNext/>
        <w:spacing w:before="280" w:after="80"/>
        <w:pBdr>
          <w:bottom w:val="single" w:sz="8" w:color="F0E528"/>
        </w:pBdr>
      </w:pPr>
      <w:r>
        <w:rPr>
          <w:rFonts w:ascii="Georgia" w:hAnsi="Georgia"/>
          <w:b/>
          <w:color w:val="0056B4"/>
          <w:sz w:val="26"/>
        </w:rPr>
        <w:t>1. Objetivo</w:t>
      </w:r>
    </w:p>
    <w:p>
      <w:pPr>
        <w:spacing w:after="120"/>
      </w:pPr>
      <w:r>
        <w:rPr>
          <w:rFonts w:ascii="Calibri" w:hAnsi="Calibri"/>
          <w:color w:val="1C242E"/>
          <w:sz w:val="21"/>
        </w:rPr>
        <w:t>Establecer los lineamientos para crear, identificar, revisar, aprobar, distribuir, resguardar, controlar y disponer de la información documentada del Sistema de Gestión de Calidad de Soluciones Energéticas JEA, S.A. de C.V., asegurando que en cada punto de uso se disponga de la versión vigente y protegida, y que la evidencia operativa quede formalmente codificada y trazable conforme a la cláusula 7.5 de ISO 9001:2015.</w:t>
      </w:r>
    </w:p>
    <w:p>
      <w:pPr>
        <w:keepNext/>
        <w:spacing w:before="280" w:after="80"/>
        <w:pBdr>
          <w:bottom w:val="single" w:sz="8" w:color="F0E528"/>
        </w:pBdr>
      </w:pPr>
      <w:r>
        <w:rPr>
          <w:rFonts w:ascii="Georgia" w:hAnsi="Georgia"/>
          <w:b/>
          <w:color w:val="0056B4"/>
          <w:sz w:val="26"/>
        </w:rPr>
        <w:t>2. Alcance</w:t>
      </w:r>
    </w:p>
    <w:p>
      <w:pPr>
        <w:spacing w:after="120"/>
      </w:pPr>
      <w:r>
        <w:rPr>
          <w:rFonts w:ascii="Calibri" w:hAnsi="Calibri"/>
          <w:color w:val="1C242E"/>
          <w:sz w:val="21"/>
        </w:rPr>
        <w:t>Aplica a toda la información documentada requerida por el SGC y por la operación de las unidades SolarPro y Capital Climas en las sedes de Chihuahua y Ciudad Juárez, tanto en soporte digital como impreso, e incluye:</w:t>
      </w:r>
    </w:p>
    <w:p>
      <w:pPr>
        <w:pStyle w:val="ListBullet"/>
      </w:pPr>
      <w:r>
        <w:rPr>
          <w:rFonts w:ascii="Calibri" w:hAnsi="Calibri"/>
          <w:sz w:val="20"/>
        </w:rPr>
        <w:t>Documentos internos del SGC: Manual de Calidad, políticas, procedimientos, instructivos, planes, programas, matrices, perfiles de puesto y formatos.</w:t>
      </w:r>
    </w:p>
    <w:p>
      <w:pPr>
        <w:pStyle w:val="ListBullet"/>
      </w:pPr>
      <w:r>
        <w:rPr>
          <w:rFonts w:ascii="Calibri" w:hAnsi="Calibri"/>
          <w:sz w:val="20"/>
        </w:rPr>
        <w:t>Registros generados durante la operación (evidencia de vuelo o levantamiento, encendido, revisión, actas y demás formatos codificados).</w:t>
      </w:r>
    </w:p>
    <w:p>
      <w:pPr>
        <w:pStyle w:val="ListBullet"/>
      </w:pPr>
      <w:r>
        <w:rPr>
          <w:rFonts w:ascii="Calibri" w:hAnsi="Calibri"/>
          <w:sz w:val="20"/>
        </w:rPr>
        <w:t>El tablero de Trello utilizado como fuente de la verdad para el seguimiento de proyectos y la evidencia asociada.</w:t>
      </w:r>
    </w:p>
    <w:p>
      <w:pPr>
        <w:pStyle w:val="ListBullet"/>
      </w:pPr>
      <w:r>
        <w:rPr>
          <w:rFonts w:ascii="Calibri" w:hAnsi="Calibri"/>
          <w:sz w:val="20"/>
        </w:rPr>
        <w:t>Documentos de origen externo que el SGC necesita para operar (fichas técnicas de fabricante, normas, requisitos de cliente y requisitos legales aplicables).</w:t>
      </w:r>
    </w:p>
    <w:p>
      <w:pPr>
        <w:spacing w:after="120"/>
      </w:pPr>
      <w:r>
        <w:rPr>
          <w:rFonts w:ascii="Calibri" w:hAnsi="Calibri"/>
          <w:color w:val="1C242E"/>
          <w:sz w:val="21"/>
        </w:rPr>
        <w:t>Aplica a todas las áreas: Dirección General, Gerencia Comercial, Gerencia Administrativa, Coordinación de Ingeniería, Coordinación de Instalaciones y Operaciones, Postventa y Almacén.</w:t>
      </w:r>
    </w:p>
    <w:p>
      <w:pPr>
        <w:keepNext/>
        <w:spacing w:before="280" w:after="80"/>
        <w:pBdr>
          <w:bottom w:val="single" w:sz="8" w:color="F0E528"/>
        </w:pBdr>
      </w:pPr>
      <w:r>
        <w:rPr>
          <w:rFonts w:ascii="Georgia" w:hAnsi="Georgia"/>
          <w:b/>
          <w:color w:val="0056B4"/>
          <w:sz w:val="26"/>
        </w:rPr>
        <w:t>3. Definiciones</w:t>
      </w:r>
    </w:p>
    <w:p>
      <w:pPr>
        <w:pStyle w:val="ListNumber"/>
      </w:pPr>
      <w:r>
        <w:rPr>
          <w:b/>
          <w:sz w:val="20"/>
        </w:rPr>
        <w:t xml:space="preserve">Información documentada. </w:t>
      </w:r>
      <w:r>
        <w:rPr>
          <w:rFonts w:ascii="Calibri" w:hAnsi="Calibri"/>
          <w:sz w:val="20"/>
        </w:rPr>
        <w:t>Información que la organización debe controlar y mantener, junto con el medio que la contiene, ya sea digital o impreso.</w:t>
      </w:r>
    </w:p>
    <w:p>
      <w:pPr>
        <w:pStyle w:val="ListNumber"/>
      </w:pPr>
      <w:r>
        <w:rPr>
          <w:b/>
          <w:sz w:val="20"/>
        </w:rPr>
        <w:t xml:space="preserve">Documento. </w:t>
      </w:r>
      <w:r>
        <w:rPr>
          <w:rFonts w:ascii="Calibri" w:hAnsi="Calibri"/>
          <w:sz w:val="20"/>
        </w:rPr>
        <w:t>Información con carácter normativo que indica cómo se debe realizar una actividad (políticas, procedimientos, instructivos, planes, formatos en blanco).</w:t>
      </w:r>
    </w:p>
    <w:p>
      <w:pPr>
        <w:pStyle w:val="ListNumber"/>
      </w:pPr>
      <w:r>
        <w:rPr>
          <w:b/>
          <w:sz w:val="20"/>
        </w:rPr>
        <w:t xml:space="preserve">Registro. </w:t>
      </w:r>
      <w:r>
        <w:rPr>
          <w:rFonts w:ascii="Calibri" w:hAnsi="Calibri"/>
          <w:sz w:val="20"/>
        </w:rPr>
        <w:t>Documento que presenta resultados obtenidos o evidencia de actividades realizadas. Un formato en blanco es un documento; una vez llenado con datos reales se convierte en registro.</w:t>
      </w:r>
    </w:p>
    <w:p>
      <w:pPr>
        <w:pStyle w:val="ListNumber"/>
      </w:pPr>
      <w:r>
        <w:rPr>
          <w:b/>
          <w:sz w:val="20"/>
        </w:rPr>
        <w:t xml:space="preserve">Formato. </w:t>
      </w:r>
      <w:r>
        <w:rPr>
          <w:rFonts w:ascii="Calibri" w:hAnsi="Calibri"/>
          <w:sz w:val="20"/>
        </w:rPr>
        <w:t>Plantilla controlada y codificada que se usa para capturar información de manera uniforme.</w:t>
      </w:r>
    </w:p>
    <w:p>
      <w:pPr>
        <w:pStyle w:val="ListNumber"/>
      </w:pPr>
      <w:r>
        <w:rPr>
          <w:b/>
          <w:sz w:val="20"/>
        </w:rPr>
        <w:t xml:space="preserve">Documento controlado. </w:t>
      </w:r>
      <w:r>
        <w:rPr>
          <w:rFonts w:ascii="Calibri" w:hAnsi="Calibri"/>
          <w:sz w:val="20"/>
        </w:rPr>
        <w:t>Documento identificado con código, versión y estado, sujeto a este procedimiento y disponible en su versión vigente en el punto de uso.</w:t>
      </w:r>
    </w:p>
    <w:p>
      <w:pPr>
        <w:pStyle w:val="ListNumber"/>
      </w:pPr>
      <w:r>
        <w:rPr>
          <w:b/>
          <w:sz w:val="20"/>
        </w:rPr>
        <w:t xml:space="preserve">Documento obsoleto. </w:t>
      </w:r>
      <w:r>
        <w:rPr>
          <w:rFonts w:ascii="Calibri" w:hAnsi="Calibri"/>
          <w:sz w:val="20"/>
        </w:rPr>
        <w:t>Versión superada por una más reciente; se retira de los puntos de uso y, si se conserva, se identifica para evitar su uso involuntario.</w:t>
      </w:r>
    </w:p>
    <w:p>
      <w:pPr>
        <w:pStyle w:val="ListNumber"/>
      </w:pPr>
      <w:r>
        <w:rPr>
          <w:b/>
          <w:sz w:val="20"/>
        </w:rPr>
        <w:t xml:space="preserve">Documento de origen externo. </w:t>
      </w:r>
      <w:r>
        <w:rPr>
          <w:rFonts w:ascii="Calibri" w:hAnsi="Calibri"/>
          <w:sz w:val="20"/>
        </w:rPr>
        <w:t>Documento no generado por la organización pero necesario para el SGC (norma, ficha técnica, requisito de cliente o requisito legal).</w:t>
      </w:r>
    </w:p>
    <w:p>
      <w:pPr>
        <w:pStyle w:val="ListNumber"/>
      </w:pPr>
      <w:r>
        <w:rPr>
          <w:b/>
          <w:sz w:val="20"/>
        </w:rPr>
        <w:t xml:space="preserve">Fuente de la verdad. </w:t>
      </w:r>
      <w:r>
        <w:rPr>
          <w:rFonts w:ascii="Calibri" w:hAnsi="Calibri"/>
          <w:sz w:val="20"/>
        </w:rPr>
        <w:t>Repositorio único y oficial donde reside el estado real y autorizado de un proceso o proyecto. Para el seguimiento de proyectos, la fuente de la verdad es Trello.</w:t>
      </w:r>
    </w:p>
    <w:p>
      <w:pPr>
        <w:pStyle w:val="ListNumber"/>
      </w:pPr>
      <w:r>
        <w:rPr>
          <w:b/>
          <w:sz w:val="20"/>
        </w:rPr>
        <w:t xml:space="preserve">Codificación y nomenclatura. </w:t>
      </w:r>
      <w:r>
        <w:rPr>
          <w:rFonts w:ascii="Calibri" w:hAnsi="Calibri"/>
          <w:sz w:val="20"/>
        </w:rPr>
        <w:t>Reglas para asignar un código único a cada documento y para nombrar de forma consistente elementos como tarjetas y listas de Trello.</w:t>
      </w:r>
    </w:p>
    <w:p>
      <w:pPr>
        <w:pStyle w:val="ListNumber"/>
      </w:pPr>
      <w:r>
        <w:rPr>
          <w:b/>
          <w:sz w:val="20"/>
        </w:rPr>
        <w:t xml:space="preserve">Listado Maestro de Documentos. </w:t>
      </w:r>
      <w:r>
        <w:rPr>
          <w:rFonts w:ascii="Calibri" w:hAnsi="Calibri"/>
          <w:sz w:val="20"/>
        </w:rPr>
        <w:t>Registro central que identifica todos los documentos controlados vigentes del SGC con su código, versión, estado y custodio.</w:t>
      </w:r>
    </w:p>
    <w:p>
      <w:pPr>
        <w:keepNext/>
        <w:spacing w:before="280" w:after="80"/>
        <w:pBdr>
          <w:bottom w:val="single" w:sz="8" w:color="F0E528"/>
        </w:pBdr>
      </w:pPr>
      <w:r>
        <w:rPr>
          <w:rFonts w:ascii="Georgia" w:hAnsi="Georgia"/>
          <w:b/>
          <w:color w:val="0056B4"/>
          <w:sz w:val="26"/>
        </w:rPr>
        <w:t>4.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Rol</w:t>
            </w:r>
          </w:p>
        </w:tc>
        <w:tc>
          <w:tcPr>
            <w:tcW w:type="dxa" w:w="4986"/>
            <w:shd w:val="clear" w:fill="0056B4"/>
          </w:tcPr>
          <w:p>
            <w:pPr>
              <w:jc w:val="center"/>
            </w:pPr>
            <w:r/>
            <w:r>
              <w:rPr>
                <w:rFonts w:ascii="Calibri" w:hAnsi="Calibri"/>
                <w:b/>
                <w:color w:val="FFFFFF"/>
                <w:sz w:val="17"/>
              </w:rPr>
              <w:t>Responsabilidad</w:t>
            </w:r>
          </w:p>
        </w:tc>
      </w:tr>
      <w:tr>
        <w:tc>
          <w:tcPr>
            <w:tcW w:type="dxa" w:w="4986"/>
          </w:tcPr>
          <w:p>
            <w:r/>
            <w:r>
              <w:rPr>
                <w:rFonts w:ascii="Calibri" w:hAnsi="Calibri"/>
                <w:b w:val="0"/>
                <w:sz w:val="19"/>
              </w:rPr>
              <w:t>Dirección General</w:t>
            </w:r>
          </w:p>
        </w:tc>
        <w:tc>
          <w:tcPr>
            <w:tcW w:type="dxa" w:w="4986"/>
          </w:tcPr>
          <w:p>
            <w:r/>
            <w:r>
              <w:rPr>
                <w:rFonts w:ascii="Calibri" w:hAnsi="Calibri"/>
                <w:b w:val="0"/>
                <w:sz w:val="19"/>
              </w:rPr>
              <w:t>Aprueba la política de control documental, provee los recursos y da la autorización final a los documentos de primer nivel (Manual y políticas).</w:t>
            </w:r>
          </w:p>
        </w:tc>
      </w:tr>
      <w:tr>
        <w:tc>
          <w:tcPr>
            <w:tcW w:type="dxa" w:w="4986"/>
          </w:tcPr>
          <w:p>
            <w:r/>
            <w:r>
              <w:rPr>
                <w:rFonts w:ascii="Calibri" w:hAnsi="Calibri"/>
                <w:b w:val="0"/>
                <w:sz w:val="19"/>
              </w:rPr>
              <w:t>Gerencia Administrativa (custodio del SGC)</w:t>
            </w:r>
          </w:p>
        </w:tc>
        <w:tc>
          <w:tcPr>
            <w:tcW w:type="dxa" w:w="4986"/>
          </w:tcPr>
          <w:p>
            <w:r/>
            <w:r>
              <w:rPr>
                <w:rFonts w:ascii="Calibri" w:hAnsi="Calibri"/>
                <w:b w:val="0"/>
                <w:sz w:val="19"/>
              </w:rPr>
              <w:t>Administra el Listado Maestro, asigna códigos y versiones, resguarda los originales, controla el acceso y la distribución, retira los obsoletos y verifica el cumplimiento de este procedimiento.</w:t>
            </w:r>
          </w:p>
        </w:tc>
      </w:tr>
      <w:tr>
        <w:tc>
          <w:tcPr>
            <w:tcW w:type="dxa" w:w="4986"/>
          </w:tcPr>
          <w:p>
            <w:r/>
            <w:r>
              <w:rPr>
                <w:rFonts w:ascii="Calibri" w:hAnsi="Calibri"/>
                <w:b w:val="0"/>
                <w:sz w:val="19"/>
              </w:rPr>
              <w:t>Coordinaciones y Gerencias de área</w:t>
            </w:r>
          </w:p>
        </w:tc>
        <w:tc>
          <w:tcPr>
            <w:tcW w:type="dxa" w:w="4986"/>
          </w:tcPr>
          <w:p>
            <w:r/>
            <w:r>
              <w:rPr>
                <w:rFonts w:ascii="Calibri" w:hAnsi="Calibri"/>
                <w:b w:val="0"/>
                <w:sz w:val="19"/>
              </w:rPr>
              <w:t>Elaboran y revisan los documentos y formatos de su área, solicitan altas y cambios, y mantienen actualizado el estado de sus proyectos y evidencia en Trello.</w:t>
            </w:r>
          </w:p>
        </w:tc>
      </w:tr>
      <w:tr>
        <w:tc>
          <w:tcPr>
            <w:tcW w:type="dxa" w:w="4986"/>
          </w:tcPr>
          <w:p>
            <w:r/>
            <w:r>
              <w:rPr>
                <w:rFonts w:ascii="Calibri" w:hAnsi="Calibri"/>
                <w:b w:val="0"/>
                <w:sz w:val="19"/>
              </w:rPr>
              <w:t>Coordinación de Ingeniería</w:t>
            </w:r>
          </w:p>
        </w:tc>
        <w:tc>
          <w:tcPr>
            <w:tcW w:type="dxa" w:w="4986"/>
          </w:tcPr>
          <w:p>
            <w:r/>
            <w:r>
              <w:rPr>
                <w:rFonts w:ascii="Calibri" w:hAnsi="Calibri"/>
                <w:b w:val="0"/>
                <w:sz w:val="19"/>
              </w:rPr>
              <w:t>Genera y mantiene los formatos técnicos de proyecto (vuelo o levantamiento, encendido y revisiones) conforme a los procedimientos PRO-ING-02, PRO-ING-04 y PRO-ING-05, y adjunta la evidencia correspondiente en la tarjeta de Trello de cada proyecto.</w:t>
            </w:r>
          </w:p>
        </w:tc>
      </w:tr>
      <w:tr>
        <w:tc>
          <w:tcPr>
            <w:tcW w:type="dxa" w:w="4986"/>
          </w:tcPr>
          <w:p>
            <w:r/>
            <w:r>
              <w:rPr>
                <w:rFonts w:ascii="Calibri" w:hAnsi="Calibri"/>
                <w:b w:val="0"/>
                <w:sz w:val="19"/>
              </w:rPr>
              <w:t>Coordinación de Instalaciones y Operaciones</w:t>
            </w:r>
          </w:p>
        </w:tc>
        <w:tc>
          <w:tcPr>
            <w:tcW w:type="dxa" w:w="4986"/>
          </w:tcPr>
          <w:p>
            <w:r/>
            <w:r>
              <w:rPr>
                <w:rFonts w:ascii="Calibri" w:hAnsi="Calibri"/>
                <w:b w:val="0"/>
                <w:sz w:val="19"/>
              </w:rPr>
              <w:t>Ejecuta la instalación, actualiza el estado del proyecto y adjunta en la tarjeta de Trello la evidencia operativa de su ámbito, sin ser propietaria de los formatos técnicos que corresponden a Ingeniería.</w:t>
            </w:r>
          </w:p>
        </w:tc>
      </w:tr>
      <w:tr>
        <w:tc>
          <w:tcPr>
            <w:tcW w:type="dxa" w:w="4986"/>
          </w:tcPr>
          <w:p>
            <w:r/>
            <w:r>
              <w:rPr>
                <w:rFonts w:ascii="Calibri" w:hAnsi="Calibri"/>
                <w:b w:val="0"/>
                <w:sz w:val="19"/>
              </w:rPr>
              <w:t>Todos los colaboradores</w:t>
            </w:r>
          </w:p>
        </w:tc>
        <w:tc>
          <w:tcPr>
            <w:tcW w:type="dxa" w:w="4986"/>
          </w:tcPr>
          <w:p>
            <w:r/>
            <w:r>
              <w:rPr>
                <w:rFonts w:ascii="Calibri" w:hAnsi="Calibri"/>
                <w:b w:val="0"/>
                <w:sz w:val="19"/>
              </w:rPr>
              <w:t>Utilizan únicamente la versión vigente de cada documento, no crean copias no controladas y respetan la nomenclatura definida.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 responsabilidad operativa del control documental recae en Gerencia Administrativa. DETA Consultores acompaña el diseño, la codificación inicial y la validación del sistema, sin figurar como propietario del documento.</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Propietario y frontera de responsabilidad del acta de proyecto (por ejemplo, acta de entrega): confirmar si su formato corresponde a Ingeniería, a Instalaciones y Operaciones o a otra área, considerando que la frontera vigente establece que el encendido es de Ingeniería (PRO-ING-04).</w:t>
            </w:r>
          </w:p>
        </w:tc>
      </w:tr>
    </w:tbl>
    <w:p>
      <w:pPr>
        <w:spacing w:after="40"/>
      </w:pPr>
    </w:p>
    <w:p>
      <w:pPr>
        <w:keepNext/>
        <w:spacing w:before="280" w:after="80"/>
        <w:pBdr>
          <w:bottom w:val="single" w:sz="8" w:color="F0E528"/>
        </w:pBdr>
      </w:pPr>
      <w:r>
        <w:rPr>
          <w:rFonts w:ascii="Georgia" w:hAnsi="Georgia"/>
          <w:b/>
          <w:color w:val="0056B4"/>
          <w:sz w:val="26"/>
        </w:rPr>
        <w:t>5. Desarrollo: política y control de la información documentada</w:t>
      </w:r>
    </w:p>
    <w:p>
      <w:pPr>
        <w:keepNext/>
        <w:spacing w:before="200" w:after="60"/>
      </w:pPr>
      <w:r>
        <w:rPr>
          <w:rFonts w:ascii="Georgia" w:hAnsi="Georgia"/>
          <w:b/>
          <w:color w:val="1C242E"/>
          <w:sz w:val="22"/>
        </w:rPr>
        <w:t>5.1 Creación e identificación de documentos (7.5.2)</w:t>
      </w:r>
    </w:p>
    <w:p>
      <w:pPr>
        <w:spacing w:after="120"/>
      </w:pPr>
      <w:r>
        <w:rPr>
          <w:rFonts w:ascii="Calibri" w:hAnsi="Calibri"/>
          <w:color w:val="1C242E"/>
          <w:sz w:val="21"/>
        </w:rPr>
        <w:t>Todo documento del SGC se identifica con un código único, un título, una versión y una fecha. El código se construye con la estructura PREFIJO-ÁMBITO-CONSECUTIVO.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Prefijo</w:t>
            </w:r>
          </w:p>
        </w:tc>
        <w:tc>
          <w:tcPr>
            <w:tcW w:type="dxa" w:w="4986"/>
            <w:shd w:val="clear" w:fill="0056B4"/>
          </w:tcPr>
          <w:p>
            <w:pPr>
              <w:jc w:val="center"/>
            </w:pPr>
            <w:r/>
            <w:r>
              <w:rPr>
                <w:rFonts w:ascii="Calibri" w:hAnsi="Calibri"/>
                <w:b/>
                <w:color w:val="FFFFFF"/>
                <w:sz w:val="17"/>
              </w:rPr>
              <w:t>Tipo de documento</w:t>
            </w:r>
          </w:p>
        </w:tc>
      </w:tr>
      <w:tr>
        <w:tc>
          <w:tcPr>
            <w:tcW w:type="dxa" w:w="4986"/>
          </w:tcPr>
          <w:p>
            <w:r/>
            <w:r>
              <w:rPr>
                <w:rFonts w:ascii="Calibri" w:hAnsi="Calibri"/>
                <w:b w:val="0"/>
                <w:sz w:val="19"/>
              </w:rPr>
              <w:t>MC</w:t>
            </w:r>
          </w:p>
        </w:tc>
        <w:tc>
          <w:tcPr>
            <w:tcW w:type="dxa" w:w="4986"/>
          </w:tcPr>
          <w:p>
            <w:r/>
            <w:r>
              <w:rPr>
                <w:rFonts w:ascii="Calibri" w:hAnsi="Calibri"/>
                <w:b w:val="0"/>
                <w:sz w:val="19"/>
              </w:rPr>
              <w:t>Manual de Calidad</w:t>
            </w:r>
          </w:p>
        </w:tc>
      </w:tr>
      <w:tr>
        <w:tc>
          <w:tcPr>
            <w:tcW w:type="dxa" w:w="4986"/>
          </w:tcPr>
          <w:p>
            <w:r/>
            <w:r>
              <w:rPr>
                <w:rFonts w:ascii="Calibri" w:hAnsi="Calibri"/>
                <w:b w:val="0"/>
                <w:sz w:val="19"/>
              </w:rPr>
              <w:t>POL</w:t>
            </w:r>
          </w:p>
        </w:tc>
        <w:tc>
          <w:tcPr>
            <w:tcW w:type="dxa" w:w="4986"/>
          </w:tcPr>
          <w:p>
            <w:r/>
            <w:r>
              <w:rPr>
                <w:rFonts w:ascii="Calibri" w:hAnsi="Calibri"/>
                <w:b w:val="0"/>
                <w:sz w:val="19"/>
              </w:rPr>
              <w:t>Política</w:t>
            </w:r>
          </w:p>
        </w:tc>
      </w:tr>
      <w:tr>
        <w:tc>
          <w:tcPr>
            <w:tcW w:type="dxa" w:w="4986"/>
          </w:tcPr>
          <w:p>
            <w:r/>
            <w:r>
              <w:rPr>
                <w:rFonts w:ascii="Calibri" w:hAnsi="Calibri"/>
                <w:b w:val="0"/>
                <w:sz w:val="19"/>
              </w:rPr>
              <w:t>PRO</w:t>
            </w:r>
          </w:p>
        </w:tc>
        <w:tc>
          <w:tcPr>
            <w:tcW w:type="dxa" w:w="4986"/>
          </w:tcPr>
          <w:p>
            <w:r/>
            <w:r>
              <w:rPr>
                <w:rFonts w:ascii="Calibri" w:hAnsi="Calibri"/>
                <w:b w:val="0"/>
                <w:sz w:val="19"/>
              </w:rPr>
              <w:t>Procedimiento</w:t>
            </w:r>
          </w:p>
        </w:tc>
      </w:tr>
      <w:tr>
        <w:tc>
          <w:tcPr>
            <w:tcW w:type="dxa" w:w="4986"/>
          </w:tcPr>
          <w:p>
            <w:r/>
            <w:r>
              <w:rPr>
                <w:rFonts w:ascii="Calibri" w:hAnsi="Calibri"/>
                <w:b w:val="0"/>
                <w:sz w:val="19"/>
              </w:rPr>
              <w:t>INS</w:t>
            </w:r>
          </w:p>
        </w:tc>
        <w:tc>
          <w:tcPr>
            <w:tcW w:type="dxa" w:w="4986"/>
          </w:tcPr>
          <w:p>
            <w:r/>
            <w:r>
              <w:rPr>
                <w:rFonts w:ascii="Calibri" w:hAnsi="Calibri"/>
                <w:b w:val="0"/>
                <w:sz w:val="19"/>
              </w:rPr>
              <w:t>Instructivo o instrucción de trabajo</w:t>
            </w:r>
          </w:p>
        </w:tc>
      </w:tr>
      <w:tr>
        <w:tc>
          <w:tcPr>
            <w:tcW w:type="dxa" w:w="4986"/>
          </w:tcPr>
          <w:p>
            <w:r/>
            <w:r>
              <w:rPr>
                <w:rFonts w:ascii="Calibri" w:hAnsi="Calibri"/>
                <w:b w:val="0"/>
                <w:sz w:val="19"/>
              </w:rPr>
              <w:t>PLA</w:t>
            </w:r>
          </w:p>
        </w:tc>
        <w:tc>
          <w:tcPr>
            <w:tcW w:type="dxa" w:w="4986"/>
          </w:tcPr>
          <w:p>
            <w:r/>
            <w:r>
              <w:rPr>
                <w:rFonts w:ascii="Calibri" w:hAnsi="Calibri"/>
                <w:b w:val="0"/>
                <w:sz w:val="19"/>
              </w:rPr>
              <w:t>Plan</w:t>
            </w:r>
          </w:p>
        </w:tc>
      </w:tr>
      <w:tr>
        <w:tc>
          <w:tcPr>
            <w:tcW w:type="dxa" w:w="4986"/>
          </w:tcPr>
          <w:p>
            <w:r/>
            <w:r>
              <w:rPr>
                <w:rFonts w:ascii="Calibri" w:hAnsi="Calibri"/>
                <w:b w:val="0"/>
                <w:sz w:val="19"/>
              </w:rPr>
              <w:t>PRG</w:t>
            </w:r>
          </w:p>
        </w:tc>
        <w:tc>
          <w:tcPr>
            <w:tcW w:type="dxa" w:w="4986"/>
          </w:tcPr>
          <w:p>
            <w:r/>
            <w:r>
              <w:rPr>
                <w:rFonts w:ascii="Calibri" w:hAnsi="Calibri"/>
                <w:b w:val="0"/>
                <w:sz w:val="19"/>
              </w:rPr>
              <w:t>Programa</w:t>
            </w:r>
          </w:p>
        </w:tc>
      </w:tr>
      <w:tr>
        <w:tc>
          <w:tcPr>
            <w:tcW w:type="dxa" w:w="4986"/>
          </w:tcPr>
          <w:p>
            <w:r/>
            <w:r>
              <w:rPr>
                <w:rFonts w:ascii="Calibri" w:hAnsi="Calibri"/>
                <w:b w:val="0"/>
                <w:sz w:val="19"/>
              </w:rPr>
              <w:t>MAT</w:t>
            </w:r>
          </w:p>
        </w:tc>
        <w:tc>
          <w:tcPr>
            <w:tcW w:type="dxa" w:w="4986"/>
          </w:tcPr>
          <w:p>
            <w:r/>
            <w:r>
              <w:rPr>
                <w:rFonts w:ascii="Calibri" w:hAnsi="Calibri"/>
                <w:b w:val="0"/>
                <w:sz w:val="19"/>
              </w:rPr>
              <w:t>Matriz</w:t>
            </w:r>
          </w:p>
        </w:tc>
      </w:tr>
      <w:tr>
        <w:tc>
          <w:tcPr>
            <w:tcW w:type="dxa" w:w="4986"/>
          </w:tcPr>
          <w:p>
            <w:r/>
            <w:r>
              <w:rPr>
                <w:rFonts w:ascii="Calibri" w:hAnsi="Calibri"/>
                <w:b w:val="0"/>
                <w:sz w:val="19"/>
              </w:rPr>
              <w:t>PER</w:t>
            </w:r>
          </w:p>
        </w:tc>
        <w:tc>
          <w:tcPr>
            <w:tcW w:type="dxa" w:w="4986"/>
          </w:tcPr>
          <w:p>
            <w:r/>
            <w:r>
              <w:rPr>
                <w:rFonts w:ascii="Calibri" w:hAnsi="Calibri"/>
                <w:b w:val="0"/>
                <w:sz w:val="19"/>
              </w:rPr>
              <w:t>Perfil de puesto</w:t>
            </w:r>
          </w:p>
        </w:tc>
      </w:tr>
      <w:tr>
        <w:tc>
          <w:tcPr>
            <w:tcW w:type="dxa" w:w="4986"/>
          </w:tcPr>
          <w:p>
            <w:r/>
            <w:r>
              <w:rPr>
                <w:rFonts w:ascii="Calibri" w:hAnsi="Calibri"/>
                <w:b w:val="0"/>
                <w:sz w:val="19"/>
              </w:rPr>
              <w:t>FOR</w:t>
            </w:r>
          </w:p>
        </w:tc>
        <w:tc>
          <w:tcPr>
            <w:tcW w:type="dxa" w:w="4986"/>
          </w:tcPr>
          <w:p>
            <w:r/>
            <w:r>
              <w:rPr>
                <w:rFonts w:ascii="Calibri" w:hAnsi="Calibri"/>
                <w:b w:val="0"/>
                <w:sz w:val="19"/>
              </w:rPr>
              <w:t>Formato</w:t>
            </w:r>
          </w:p>
        </w:tc>
      </w:tr>
      <w:tr>
        <w:tc>
          <w:tcPr>
            <w:tcW w:type="dxa" w:w="4986"/>
          </w:tcPr>
          <w:p>
            <w:r/>
            <w:r>
              <w:rPr>
                <w:rFonts w:ascii="Calibri" w:hAnsi="Calibri"/>
                <w:b w:val="0"/>
                <w:sz w:val="19"/>
              </w:rPr>
              <w:t>REG</w:t>
            </w:r>
          </w:p>
        </w:tc>
        <w:tc>
          <w:tcPr>
            <w:tcW w:type="dxa" w:w="4986"/>
          </w:tcPr>
          <w:p>
            <w:r/>
            <w:r>
              <w:rPr>
                <w:rFonts w:ascii="Calibri" w:hAnsi="Calibri"/>
                <w:b w:val="0"/>
                <w:sz w:val="19"/>
              </w:rPr>
              <w:t>Registro</w:t>
            </w:r>
          </w:p>
        </w:tc>
      </w:tr>
      <w:tr>
        <w:tc>
          <w:tcPr>
            <w:tcW w:type="dxa" w:w="4986"/>
          </w:tcPr>
          <w:p>
            <w:r/>
            <w:r>
              <w:rPr>
                <w:rFonts w:ascii="Calibri" w:hAnsi="Calibri"/>
                <w:b w:val="0"/>
                <w:sz w:val="19"/>
              </w:rPr>
              <w:t>LME</w:t>
            </w:r>
          </w:p>
        </w:tc>
        <w:tc>
          <w:tcPr>
            <w:tcW w:type="dxa" w:w="4986"/>
          </w:tcPr>
          <w:p>
            <w:r/>
            <w:r>
              <w:rPr>
                <w:rFonts w:ascii="Calibri" w:hAnsi="Calibri"/>
                <w:b w:val="0"/>
                <w:sz w:val="19"/>
              </w:rPr>
              <w:t>Listado Maestro</w:t>
            </w:r>
          </w:p>
        </w:tc>
      </w:tr>
      <w:tr>
        <w:tc>
          <w:tcPr>
            <w:tcW w:type="dxa" w:w="4986"/>
          </w:tcPr>
          <w:p>
            <w:r/>
            <w:r>
              <w:rPr>
                <w:rFonts w:ascii="Calibri" w:hAnsi="Calibri"/>
                <w:b w:val="0"/>
                <w:sz w:val="19"/>
              </w:rPr>
              <w:t>NOM</w:t>
            </w:r>
          </w:p>
        </w:tc>
        <w:tc>
          <w:tcPr>
            <w:tcW w:type="dxa" w:w="4986"/>
          </w:tcPr>
          <w:p>
            <w:r/>
            <w:r>
              <w:rPr>
                <w:rFonts w:ascii="Calibri" w:hAnsi="Calibri"/>
                <w:b w:val="0"/>
                <w:sz w:val="19"/>
              </w:rPr>
              <w:t>Norma o lineamiento normativo interno</w:t>
            </w:r>
          </w:p>
        </w:tc>
      </w:tr>
      <w:tr>
        <w:tc>
          <w:tcPr>
            <w:tcW w:type="dxa" w:w="4986"/>
          </w:tcPr>
          <w:p>
            <w:r/>
            <w:r>
              <w:rPr>
                <w:rFonts w:ascii="Calibri" w:hAnsi="Calibri"/>
                <w:b w:val="0"/>
                <w:sz w:val="19"/>
              </w:rPr>
              <w:t>DIF</w:t>
            </w:r>
          </w:p>
        </w:tc>
        <w:tc>
          <w:tcPr>
            <w:tcW w:type="dxa" w:w="4986"/>
          </w:tcPr>
          <w:p>
            <w:r/>
            <w:r>
              <w:rPr>
                <w:rFonts w:ascii="Calibri" w:hAnsi="Calibri"/>
                <w:b w:val="0"/>
                <w:sz w:val="19"/>
              </w:rPr>
              <w:t>Documento de difusión o comunicación</w:t>
            </w:r>
          </w:p>
        </w:tc>
      </w:tr>
      <w:tr>
        <w:tc>
          <w:tcPr>
            <w:tcW w:type="dxa" w:w="4986"/>
          </w:tcPr>
          <w:p>
            <w:r/>
            <w:r>
              <w:rPr>
                <w:rFonts w:ascii="Calibri" w:hAnsi="Calibri"/>
                <w:b w:val="0"/>
                <w:sz w:val="19"/>
              </w:rPr>
              <w:t>CON</w:t>
            </w:r>
          </w:p>
        </w:tc>
        <w:tc>
          <w:tcPr>
            <w:tcW w:type="dxa" w:w="4986"/>
          </w:tcPr>
          <w:p>
            <w:r/>
            <w:r>
              <w:rPr>
                <w:rFonts w:ascii="Calibri" w:hAnsi="Calibri"/>
                <w:b w:val="0"/>
                <w:sz w:val="19"/>
              </w:rPr>
              <w:t>Análisis de contexto</w:t>
            </w:r>
          </w:p>
        </w:tc>
      </w:tr>
      <w:tr>
        <w:tc>
          <w:tcPr>
            <w:tcW w:type="dxa" w:w="4986"/>
          </w:tcPr>
          <w:p>
            <w:r/>
            <w:r>
              <w:rPr>
                <w:rFonts w:ascii="Calibri" w:hAnsi="Calibri"/>
                <w:b w:val="0"/>
                <w:sz w:val="19"/>
              </w:rPr>
              <w:t>INF</w:t>
            </w:r>
          </w:p>
        </w:tc>
        <w:tc>
          <w:tcPr>
            <w:tcW w:type="dxa" w:w="4986"/>
          </w:tcPr>
          <w:p>
            <w:r/>
            <w:r>
              <w:rPr>
                <w:rFonts w:ascii="Calibri" w:hAnsi="Calibri"/>
                <w:b w:val="0"/>
                <w:sz w:val="19"/>
              </w:rPr>
              <w:t>Informe</w:t>
            </w:r>
          </w:p>
        </w:tc>
      </w:tr>
      <w:tr>
        <w:tc>
          <w:tcPr>
            <w:tcW w:type="dxa" w:w="4986"/>
          </w:tcPr>
          <w:p>
            <w:r/>
            <w:r>
              <w:rPr>
                <w:rFonts w:ascii="Calibri" w:hAnsi="Calibri"/>
                <w:b w:val="0"/>
                <w:sz w:val="19"/>
              </w:rPr>
              <w:t>ACT</w:t>
            </w:r>
          </w:p>
        </w:tc>
        <w:tc>
          <w:tcPr>
            <w:tcW w:type="dxa" w:w="4986"/>
          </w:tcPr>
          <w:p>
            <w:r/>
            <w:r>
              <w:rPr>
                <w:rFonts w:ascii="Calibri" w:hAnsi="Calibri"/>
                <w:b w:val="0"/>
                <w:sz w:val="19"/>
              </w:rPr>
              <w:t>Acta</w:t>
            </w:r>
          </w:p>
        </w:tc>
      </w:tr>
      <w:tr>
        <w:tc>
          <w:tcPr>
            <w:tcW w:type="dxa" w:w="4986"/>
          </w:tcPr>
          <w:p>
            <w:r/>
            <w:r>
              <w:rPr>
                <w:rFonts w:ascii="Calibri" w:hAnsi="Calibri"/>
                <w:b w:val="0"/>
                <w:sz w:val="19"/>
              </w:rPr>
              <w:t>GUI</w:t>
            </w:r>
          </w:p>
        </w:tc>
        <w:tc>
          <w:tcPr>
            <w:tcW w:type="dxa" w:w="4986"/>
          </w:tcPr>
          <w:p>
            <w:r/>
            <w:r>
              <w:rPr>
                <w:rFonts w:ascii="Calibri" w:hAnsi="Calibri"/>
                <w:b w:val="0"/>
                <w:sz w:val="19"/>
              </w:rPr>
              <w:t>Guía</w:t>
            </w:r>
          </w:p>
        </w:tc>
      </w:tr>
    </w:tbl>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Ámbito</w:t>
            </w:r>
          </w:p>
        </w:tc>
        <w:tc>
          <w:tcPr>
            <w:tcW w:type="dxa" w:w="4986"/>
            <w:shd w:val="clear" w:fill="0056B4"/>
          </w:tcPr>
          <w:p>
            <w:pPr>
              <w:jc w:val="center"/>
            </w:pPr>
            <w:r/>
            <w:r>
              <w:rPr>
                <w:rFonts w:ascii="Calibri" w:hAnsi="Calibri"/>
                <w:b/>
                <w:color w:val="FFFFFF"/>
                <w:sz w:val="17"/>
              </w:rPr>
              <w:t>Área o tema</w:t>
            </w:r>
          </w:p>
        </w:tc>
      </w:tr>
      <w:tr>
        <w:tc>
          <w:tcPr>
            <w:tcW w:type="dxa" w:w="4986"/>
          </w:tcPr>
          <w:p>
            <w:r/>
            <w:r>
              <w:rPr>
                <w:rFonts w:ascii="Calibri" w:hAnsi="Calibri"/>
                <w:b w:val="0"/>
                <w:sz w:val="19"/>
              </w:rPr>
              <w:t>SP</w:t>
            </w:r>
          </w:p>
        </w:tc>
        <w:tc>
          <w:tcPr>
            <w:tcW w:type="dxa" w:w="4986"/>
          </w:tcPr>
          <w:p>
            <w:r/>
            <w:r>
              <w:rPr>
                <w:rFonts w:ascii="Calibri" w:hAnsi="Calibri"/>
                <w:b w:val="0"/>
                <w:sz w:val="19"/>
              </w:rPr>
              <w:t>Transversal a la razón social (aplica a SolarPro y Capital Climas)</w:t>
            </w:r>
          </w:p>
        </w:tc>
      </w:tr>
      <w:tr>
        <w:tc>
          <w:tcPr>
            <w:tcW w:type="dxa" w:w="4986"/>
          </w:tcPr>
          <w:p>
            <w:r/>
            <w:r>
              <w:rPr>
                <w:rFonts w:ascii="Calibri" w:hAnsi="Calibri"/>
                <w:b w:val="0"/>
                <w:sz w:val="19"/>
              </w:rPr>
              <w:t>SGC</w:t>
            </w:r>
          </w:p>
        </w:tc>
        <w:tc>
          <w:tcPr>
            <w:tcW w:type="dxa" w:w="4986"/>
          </w:tcPr>
          <w:p>
            <w:r/>
            <w:r>
              <w:rPr>
                <w:rFonts w:ascii="Calibri" w:hAnsi="Calibri"/>
                <w:b w:val="0"/>
                <w:sz w:val="19"/>
              </w:rPr>
              <w:t>Gobierno del Sistema de Gestión de Calidad</w:t>
            </w:r>
          </w:p>
        </w:tc>
      </w:tr>
      <w:tr>
        <w:tc>
          <w:tcPr>
            <w:tcW w:type="dxa" w:w="4986"/>
          </w:tcPr>
          <w:p>
            <w:r/>
            <w:r>
              <w:rPr>
                <w:rFonts w:ascii="Calibri" w:hAnsi="Calibri"/>
                <w:b w:val="0"/>
                <w:sz w:val="19"/>
              </w:rPr>
              <w:t>CAL</w:t>
            </w:r>
          </w:p>
        </w:tc>
        <w:tc>
          <w:tcPr>
            <w:tcW w:type="dxa" w:w="4986"/>
          </w:tcPr>
          <w:p>
            <w:r/>
            <w:r>
              <w:rPr>
                <w:rFonts w:ascii="Calibri" w:hAnsi="Calibri"/>
                <w:b w:val="0"/>
                <w:sz w:val="19"/>
              </w:rPr>
              <w:t>Calidad</w:t>
            </w:r>
          </w:p>
        </w:tc>
      </w:tr>
      <w:tr>
        <w:tc>
          <w:tcPr>
            <w:tcW w:type="dxa" w:w="4986"/>
          </w:tcPr>
          <w:p>
            <w:r/>
            <w:r>
              <w:rPr>
                <w:rFonts w:ascii="Calibri" w:hAnsi="Calibri"/>
                <w:b w:val="0"/>
                <w:sz w:val="19"/>
              </w:rPr>
              <w:t>ING</w:t>
            </w:r>
          </w:p>
        </w:tc>
        <w:tc>
          <w:tcPr>
            <w:tcW w:type="dxa" w:w="4986"/>
          </w:tcPr>
          <w:p>
            <w:r/>
            <w:r>
              <w:rPr>
                <w:rFonts w:ascii="Calibri" w:hAnsi="Calibri"/>
                <w:b w:val="0"/>
                <w:sz w:val="19"/>
              </w:rPr>
              <w:t>Ingeniería</w:t>
            </w:r>
          </w:p>
        </w:tc>
      </w:tr>
      <w:tr>
        <w:tc>
          <w:tcPr>
            <w:tcW w:type="dxa" w:w="4986"/>
          </w:tcPr>
          <w:p>
            <w:r/>
            <w:r>
              <w:rPr>
                <w:rFonts w:ascii="Calibri" w:hAnsi="Calibri"/>
                <w:b w:val="0"/>
                <w:sz w:val="19"/>
              </w:rPr>
              <w:t>VEN</w:t>
            </w:r>
          </w:p>
        </w:tc>
        <w:tc>
          <w:tcPr>
            <w:tcW w:type="dxa" w:w="4986"/>
          </w:tcPr>
          <w:p>
            <w:r/>
            <w:r>
              <w:rPr>
                <w:rFonts w:ascii="Calibri" w:hAnsi="Calibri"/>
                <w:b w:val="0"/>
                <w:sz w:val="19"/>
              </w:rPr>
              <w:t>Comercial / Ventas</w:t>
            </w:r>
          </w:p>
        </w:tc>
      </w:tr>
      <w:tr>
        <w:tc>
          <w:tcPr>
            <w:tcW w:type="dxa" w:w="4986"/>
          </w:tcPr>
          <w:p>
            <w:r/>
            <w:r>
              <w:rPr>
                <w:rFonts w:ascii="Calibri" w:hAnsi="Calibri"/>
                <w:b w:val="0"/>
                <w:sz w:val="19"/>
              </w:rPr>
              <w:t>OPE</w:t>
            </w:r>
          </w:p>
        </w:tc>
        <w:tc>
          <w:tcPr>
            <w:tcW w:type="dxa" w:w="4986"/>
          </w:tcPr>
          <w:p>
            <w:r/>
            <w:r>
              <w:rPr>
                <w:rFonts w:ascii="Calibri" w:hAnsi="Calibri"/>
                <w:b w:val="0"/>
                <w:sz w:val="19"/>
              </w:rPr>
              <w:t>Instalaciones / Operaciones</w:t>
            </w:r>
          </w:p>
        </w:tc>
      </w:tr>
      <w:tr>
        <w:tc>
          <w:tcPr>
            <w:tcW w:type="dxa" w:w="4986"/>
          </w:tcPr>
          <w:p>
            <w:r/>
            <w:r>
              <w:rPr>
                <w:rFonts w:ascii="Calibri" w:hAnsi="Calibri"/>
                <w:b w:val="0"/>
                <w:sz w:val="19"/>
              </w:rPr>
              <w:t>PVM</w:t>
            </w:r>
          </w:p>
        </w:tc>
        <w:tc>
          <w:tcPr>
            <w:tcW w:type="dxa" w:w="4986"/>
          </w:tcPr>
          <w:p>
            <w:r/>
            <w:r>
              <w:rPr>
                <w:rFonts w:ascii="Calibri" w:hAnsi="Calibri"/>
                <w:b w:val="0"/>
                <w:sz w:val="19"/>
              </w:rPr>
              <w:t>Postventa</w:t>
            </w:r>
          </w:p>
        </w:tc>
      </w:tr>
      <w:tr>
        <w:tc>
          <w:tcPr>
            <w:tcW w:type="dxa" w:w="4986"/>
          </w:tcPr>
          <w:p>
            <w:r/>
            <w:r>
              <w:rPr>
                <w:rFonts w:ascii="Calibri" w:hAnsi="Calibri"/>
                <w:b w:val="0"/>
                <w:sz w:val="19"/>
              </w:rPr>
              <w:t>ALM</w:t>
            </w:r>
          </w:p>
        </w:tc>
        <w:tc>
          <w:tcPr>
            <w:tcW w:type="dxa" w:w="4986"/>
          </w:tcPr>
          <w:p>
            <w:r/>
            <w:r>
              <w:rPr>
                <w:rFonts w:ascii="Calibri" w:hAnsi="Calibri"/>
                <w:b w:val="0"/>
                <w:sz w:val="19"/>
              </w:rPr>
              <w:t>Almacén</w:t>
            </w:r>
          </w:p>
        </w:tc>
      </w:tr>
      <w:tr>
        <w:tc>
          <w:tcPr>
            <w:tcW w:type="dxa" w:w="4986"/>
          </w:tcPr>
          <w:p>
            <w:r/>
            <w:r>
              <w:rPr>
                <w:rFonts w:ascii="Calibri" w:hAnsi="Calibri"/>
                <w:b w:val="0"/>
                <w:sz w:val="19"/>
              </w:rPr>
              <w:t>PRV</w:t>
            </w:r>
          </w:p>
        </w:tc>
        <w:tc>
          <w:tcPr>
            <w:tcW w:type="dxa" w:w="4986"/>
          </w:tcPr>
          <w:p>
            <w:r/>
            <w:r>
              <w:rPr>
                <w:rFonts w:ascii="Calibri" w:hAnsi="Calibri"/>
                <w:b w:val="0"/>
                <w:sz w:val="19"/>
              </w:rPr>
              <w:t>Proveedores</w:t>
            </w:r>
          </w:p>
        </w:tc>
      </w:tr>
      <w:tr>
        <w:tc>
          <w:tcPr>
            <w:tcW w:type="dxa" w:w="4986"/>
          </w:tcPr>
          <w:p>
            <w:r/>
            <w:r>
              <w:rPr>
                <w:rFonts w:ascii="Calibri" w:hAnsi="Calibri"/>
                <w:b w:val="0"/>
                <w:sz w:val="19"/>
              </w:rPr>
              <w:t>MED</w:t>
            </w:r>
          </w:p>
        </w:tc>
        <w:tc>
          <w:tcPr>
            <w:tcW w:type="dxa" w:w="4986"/>
          </w:tcPr>
          <w:p>
            <w:r/>
            <w:r>
              <w:rPr>
                <w:rFonts w:ascii="Calibri" w:hAnsi="Calibri"/>
                <w:b w:val="0"/>
                <w:sz w:val="19"/>
              </w:rPr>
              <w:t>Medición</w:t>
            </w:r>
          </w:p>
        </w:tc>
      </w:tr>
      <w:tr>
        <w:tc>
          <w:tcPr>
            <w:tcW w:type="dxa" w:w="4986"/>
          </w:tcPr>
          <w:p>
            <w:r/>
            <w:r>
              <w:rPr>
                <w:rFonts w:ascii="Calibri" w:hAnsi="Calibri"/>
                <w:b w:val="0"/>
                <w:sz w:val="19"/>
              </w:rPr>
              <w:t>AUD</w:t>
            </w:r>
          </w:p>
        </w:tc>
        <w:tc>
          <w:tcPr>
            <w:tcW w:type="dxa" w:w="4986"/>
          </w:tcPr>
          <w:p>
            <w:r/>
            <w:r>
              <w:rPr>
                <w:rFonts w:ascii="Calibri" w:hAnsi="Calibri"/>
                <w:b w:val="0"/>
                <w:sz w:val="19"/>
              </w:rPr>
              <w:t>Auditoría</w:t>
            </w:r>
          </w:p>
        </w:tc>
      </w:tr>
      <w:tr>
        <w:tc>
          <w:tcPr>
            <w:tcW w:type="dxa" w:w="4986"/>
          </w:tcPr>
          <w:p>
            <w:r/>
            <w:r>
              <w:rPr>
                <w:rFonts w:ascii="Calibri" w:hAnsi="Calibri"/>
                <w:b w:val="0"/>
                <w:sz w:val="19"/>
              </w:rPr>
              <w:t>RIE</w:t>
            </w:r>
          </w:p>
        </w:tc>
        <w:tc>
          <w:tcPr>
            <w:tcW w:type="dxa" w:w="4986"/>
          </w:tcPr>
          <w:p>
            <w:r/>
            <w:r>
              <w:rPr>
                <w:rFonts w:ascii="Calibri" w:hAnsi="Calibri"/>
                <w:b w:val="0"/>
                <w:sz w:val="19"/>
              </w:rPr>
              <w:t>Riesgos</w:t>
            </w:r>
          </w:p>
        </w:tc>
      </w:tr>
      <w:tr>
        <w:tc>
          <w:tcPr>
            <w:tcW w:type="dxa" w:w="4986"/>
          </w:tcPr>
          <w:p>
            <w:r/>
            <w:r>
              <w:rPr>
                <w:rFonts w:ascii="Calibri" w:hAnsi="Calibri"/>
                <w:b w:val="0"/>
                <w:sz w:val="19"/>
              </w:rPr>
              <w:t>AC</w:t>
            </w:r>
          </w:p>
        </w:tc>
        <w:tc>
          <w:tcPr>
            <w:tcW w:type="dxa" w:w="4986"/>
          </w:tcPr>
          <w:p>
            <w:r/>
            <w:r>
              <w:rPr>
                <w:rFonts w:ascii="Calibri" w:hAnsi="Calibri"/>
                <w:b w:val="0"/>
                <w:sz w:val="19"/>
              </w:rPr>
              <w:t>Acciones correctivas</w:t>
            </w:r>
          </w:p>
        </w:tc>
      </w:tr>
      <w:tr>
        <w:tc>
          <w:tcPr>
            <w:tcW w:type="dxa" w:w="4986"/>
          </w:tcPr>
          <w:p>
            <w:r/>
            <w:r>
              <w:rPr>
                <w:rFonts w:ascii="Calibri" w:hAnsi="Calibri"/>
                <w:b w:val="0"/>
                <w:sz w:val="19"/>
              </w:rPr>
              <w:t>NCA</w:t>
            </w:r>
          </w:p>
        </w:tc>
        <w:tc>
          <w:tcPr>
            <w:tcW w:type="dxa" w:w="4986"/>
          </w:tcPr>
          <w:p>
            <w:r/>
            <w:r>
              <w:rPr>
                <w:rFonts w:ascii="Calibri" w:hAnsi="Calibri"/>
                <w:b w:val="0"/>
                <w:sz w:val="19"/>
              </w:rPr>
              <w:t>No conformidades</w:t>
            </w:r>
          </w:p>
        </w:tc>
      </w:tr>
      <w:tr>
        <w:tc>
          <w:tcPr>
            <w:tcW w:type="dxa" w:w="4986"/>
          </w:tcPr>
          <w:p>
            <w:r/>
            <w:r>
              <w:rPr>
                <w:rFonts w:ascii="Calibri" w:hAnsi="Calibri"/>
                <w:b w:val="0"/>
                <w:sz w:val="19"/>
              </w:rPr>
              <w:t>DOC</w:t>
            </w:r>
          </w:p>
        </w:tc>
        <w:tc>
          <w:tcPr>
            <w:tcW w:type="dxa" w:w="4986"/>
          </w:tcPr>
          <w:p>
            <w:r/>
            <w:r>
              <w:rPr>
                <w:rFonts w:ascii="Calibri" w:hAnsi="Calibri"/>
                <w:b w:val="0"/>
                <w:sz w:val="19"/>
              </w:rPr>
              <w:t>Control documental</w:t>
            </w:r>
          </w:p>
        </w:tc>
      </w:tr>
      <w:tr>
        <w:tc>
          <w:tcPr>
            <w:tcW w:type="dxa" w:w="4986"/>
          </w:tcPr>
          <w:p>
            <w:r/>
            <w:r>
              <w:rPr>
                <w:rFonts w:ascii="Calibri" w:hAnsi="Calibri"/>
                <w:b w:val="0"/>
                <w:sz w:val="19"/>
              </w:rPr>
              <w:t>POL</w:t>
            </w:r>
          </w:p>
        </w:tc>
        <w:tc>
          <w:tcPr>
            <w:tcW w:type="dxa" w:w="4986"/>
          </w:tcPr>
          <w:p>
            <w:r/>
            <w:r>
              <w:rPr>
                <w:rFonts w:ascii="Calibri" w:hAnsi="Calibri"/>
                <w:b w:val="0"/>
                <w:sz w:val="19"/>
              </w:rPr>
              <w:t>Políticas</w:t>
            </w:r>
          </w:p>
        </w:tc>
      </w:tr>
      <w:tr>
        <w:tc>
          <w:tcPr>
            <w:tcW w:type="dxa" w:w="4986"/>
          </w:tcPr>
          <w:p>
            <w:r/>
            <w:r>
              <w:rPr>
                <w:rFonts w:ascii="Calibri" w:hAnsi="Calibri"/>
                <w:b w:val="0"/>
                <w:sz w:val="19"/>
              </w:rPr>
              <w:t>CAP</w:t>
            </w:r>
          </w:p>
        </w:tc>
        <w:tc>
          <w:tcPr>
            <w:tcW w:type="dxa" w:w="4986"/>
          </w:tcPr>
          <w:p>
            <w:r/>
            <w:r>
              <w:rPr>
                <w:rFonts w:ascii="Calibri" w:hAnsi="Calibri"/>
                <w:b w:val="0"/>
                <w:sz w:val="19"/>
              </w:rPr>
              <w:t>Capacitación y formación</w:t>
            </w:r>
          </w:p>
        </w:tc>
      </w:tr>
      <w:tr>
        <w:tc>
          <w:tcPr>
            <w:tcW w:type="dxa" w:w="4986"/>
          </w:tcPr>
          <w:p>
            <w:r/>
            <w:r>
              <w:rPr>
                <w:rFonts w:ascii="Calibri" w:hAnsi="Calibri"/>
                <w:b w:val="0"/>
                <w:sz w:val="19"/>
              </w:rPr>
              <w:t>COM</w:t>
            </w:r>
          </w:p>
        </w:tc>
        <w:tc>
          <w:tcPr>
            <w:tcW w:type="dxa" w:w="4986"/>
          </w:tcPr>
          <w:p>
            <w:r/>
            <w:r>
              <w:rPr>
                <w:rFonts w:ascii="Calibri" w:hAnsi="Calibri"/>
                <w:b w:val="0"/>
                <w:sz w:val="19"/>
              </w:rPr>
              <w:t>Comunicación</w:t>
            </w:r>
          </w:p>
        </w:tc>
      </w:tr>
      <w:tr>
        <w:tc>
          <w:tcPr>
            <w:tcW w:type="dxa" w:w="4986"/>
          </w:tcPr>
          <w:p>
            <w:r/>
            <w:r>
              <w:rPr>
                <w:rFonts w:ascii="Calibri" w:hAnsi="Calibri"/>
                <w:b w:val="0"/>
                <w:sz w:val="19"/>
              </w:rPr>
              <w:t>MER</w:t>
            </w:r>
          </w:p>
        </w:tc>
        <w:tc>
          <w:tcPr>
            <w:tcW w:type="dxa" w:w="4986"/>
          </w:tcPr>
          <w:p>
            <w:r/>
            <w:r>
              <w:rPr>
                <w:rFonts w:ascii="Calibri" w:hAnsi="Calibri"/>
                <w:b w:val="0"/>
                <w:sz w:val="19"/>
              </w:rPr>
              <w:t>Mercado</w:t>
            </w:r>
          </w:p>
        </w:tc>
      </w:tr>
      <w:tr>
        <w:tc>
          <w:tcPr>
            <w:tcW w:type="dxa" w:w="4986"/>
          </w:tcPr>
          <w:p>
            <w:r/>
            <w:r>
              <w:rPr>
                <w:rFonts w:ascii="Calibri" w:hAnsi="Calibri"/>
                <w:b w:val="0"/>
                <w:sz w:val="19"/>
              </w:rPr>
              <w:t>AI</w:t>
            </w:r>
          </w:p>
        </w:tc>
        <w:tc>
          <w:tcPr>
            <w:tcW w:type="dxa" w:w="4986"/>
          </w:tcPr>
          <w:p>
            <w:r/>
            <w:r>
              <w:rPr>
                <w:rFonts w:ascii="Calibri" w:hAnsi="Calibri"/>
                <w:b w:val="0"/>
                <w:sz w:val="19"/>
              </w:rPr>
              <w:t>Análisis interno</w:t>
            </w:r>
          </w:p>
        </w:tc>
      </w:tr>
      <w:tr>
        <w:tc>
          <w:tcPr>
            <w:tcW w:type="dxa" w:w="4986"/>
          </w:tcPr>
          <w:p>
            <w:r/>
            <w:r>
              <w:rPr>
                <w:rFonts w:ascii="Calibri" w:hAnsi="Calibri"/>
                <w:b w:val="0"/>
                <w:sz w:val="19"/>
              </w:rPr>
              <w:t>RD</w:t>
            </w:r>
          </w:p>
        </w:tc>
        <w:tc>
          <w:tcPr>
            <w:tcW w:type="dxa" w:w="4986"/>
          </w:tcPr>
          <w:p>
            <w:r/>
            <w:r>
              <w:rPr>
                <w:rFonts w:ascii="Calibri" w:hAnsi="Calibri"/>
                <w:b w:val="0"/>
                <w:sz w:val="19"/>
              </w:rPr>
              <w:t>Revisión por la Dirección</w:t>
            </w:r>
          </w:p>
        </w:tc>
      </w:tr>
    </w:tbl>
    <w:p>
      <w:pPr>
        <w:spacing w:after="120"/>
      </w:pPr>
      <w:r>
        <w:rPr>
          <w:rFonts w:ascii="Calibri" w:hAnsi="Calibri"/>
          <w:color w:val="1C242E"/>
          <w:sz w:val="21"/>
        </w:rPr>
        <w:t>El consecutivo es un número correlativo que se asigna por combinación de prefijo y ámbito (001 para el primer documento de esa combinación, 002 para el segundo, y así sucesivamente). Los documentos ya emitidos conservan su código actual; la numeración correlativa aplica a las altas nuevas. Cada documento controlado incluye en su encabezado o pie: código, título, versión, fecha y estado (borrador, vigente u obsoleto).</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Descripción y alcance exactos de los prefijos y ámbitos incorporados de documentos ya emitidos (NOM, DIF, CON, INF, ACT, GUI; SGC, POL, CAP, COM, MER, AI, RD), para que el Listado Maestro pueda clasificar de forma consistente todo documento vigente del SGC.</w:t>
            </w:r>
          </w:p>
        </w:tc>
      </w:tr>
    </w:tbl>
    <w:p>
      <w:pPr>
        <w:spacing w:after="40"/>
      </w:pPr>
    </w:p>
    <w:p>
      <w:pPr>
        <w:keepNext/>
        <w:spacing w:before="200" w:after="60"/>
      </w:pPr>
      <w:r>
        <w:rPr>
          <w:rFonts w:ascii="Georgia" w:hAnsi="Georgia"/>
          <w:b/>
          <w:color w:val="1C242E"/>
          <w:sz w:val="22"/>
        </w:rPr>
        <w:t>5.2 Revisión y aprobación</w:t>
      </w:r>
    </w:p>
    <w:p>
      <w:pPr>
        <w:pStyle w:val="ListNumber"/>
      </w:pPr>
      <w:r>
        <w:rPr>
          <w:b/>
          <w:sz w:val="20"/>
        </w:rPr>
        <w:t xml:space="preserve">Elaboración. </w:t>
      </w:r>
      <w:r>
        <w:rPr>
          <w:rFonts w:ascii="Calibri" w:hAnsi="Calibri"/>
          <w:sz w:val="20"/>
        </w:rPr>
        <w:t>El área responsable redacta el documento usando la identidad y la estructura definida para su tipo.</w:t>
      </w:r>
    </w:p>
    <w:p>
      <w:pPr>
        <w:pStyle w:val="ListNumber"/>
      </w:pPr>
      <w:r>
        <w:rPr>
          <w:b/>
          <w:sz w:val="20"/>
        </w:rPr>
        <w:t xml:space="preserve">Revisión. </w:t>
      </w:r>
      <w:r>
        <w:rPr>
          <w:rFonts w:ascii="Calibri" w:hAnsi="Calibri"/>
          <w:sz w:val="20"/>
        </w:rPr>
        <w:t>Gerencia Administrativa revisa que el documento cumpla formato, codificación y coherencia con el resto del SGC.</w:t>
      </w:r>
    </w:p>
    <w:p>
      <w:pPr>
        <w:pStyle w:val="ListNumber"/>
      </w:pPr>
      <w:r>
        <w:rPr>
          <w:b/>
          <w:sz w:val="20"/>
        </w:rPr>
        <w:t xml:space="preserve">Aprobación. </w:t>
      </w:r>
      <w:r>
        <w:rPr>
          <w:rFonts w:ascii="Calibri" w:hAnsi="Calibri"/>
          <w:sz w:val="20"/>
        </w:rPr>
        <w:t>El documento se aprueba antes de su publicación por la autoridad que corresponde a su nivel: Dirección General para Manual y políticas; la Gerencia o Coordinación titular del proceso para procedimientos, instructivos y formatos.</w:t>
      </w:r>
    </w:p>
    <w:p>
      <w:pPr>
        <w:pStyle w:val="ListNumber"/>
      </w:pPr>
      <w:r>
        <w:rPr>
          <w:b/>
          <w:sz w:val="20"/>
        </w:rPr>
        <w:t xml:space="preserve">Publicación. </w:t>
      </w:r>
      <w:r>
        <w:rPr>
          <w:rFonts w:ascii="Calibri" w:hAnsi="Calibri"/>
          <w:sz w:val="20"/>
        </w:rPr>
        <w:t>Una vez aprobado, Gerencia Administrativa lo registra en el Listado Maestro, lo marca como vigente y lo distribuye a los puntos de uso.</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Matriz de autoridades de aprobación por tipo y nivel de documento (quién revisa y quién aprueba en cada caso) y mecanismo de firma o autorización utilizado (firma física, firma electrónica o autorización registrada).</w:t>
            </w:r>
          </w:p>
        </w:tc>
      </w:tr>
    </w:tbl>
    <w:p>
      <w:pPr>
        <w:spacing w:after="40"/>
      </w:pPr>
    </w:p>
    <w:p>
      <w:pPr>
        <w:keepNext/>
        <w:spacing w:before="200" w:after="60"/>
      </w:pPr>
      <w:r>
        <w:rPr>
          <w:rFonts w:ascii="Georgia" w:hAnsi="Georgia"/>
          <w:b/>
          <w:color w:val="1C242E"/>
          <w:sz w:val="22"/>
        </w:rPr>
        <w:t>5.3 Control de versiones</w:t>
      </w:r>
    </w:p>
    <w:p>
      <w:pPr>
        <w:pStyle w:val="ListBullet"/>
      </w:pPr>
      <w:r>
        <w:rPr>
          <w:rFonts w:ascii="Calibri" w:hAnsi="Calibri"/>
          <w:sz w:val="20"/>
        </w:rPr>
        <w:t>La primera versión aprobada de un documento es la 1.0.</w:t>
      </w:r>
    </w:p>
    <w:p>
      <w:pPr>
        <w:pStyle w:val="ListBullet"/>
      </w:pPr>
      <w:r>
        <w:rPr>
          <w:rFonts w:ascii="Calibri" w:hAnsi="Calibri"/>
          <w:sz w:val="20"/>
        </w:rPr>
        <w:t>Cambios menores (correcciones de forma que no alteran el fondo) incrementan el decimal: 1.1, 1.2.</w:t>
      </w:r>
    </w:p>
    <w:p>
      <w:pPr>
        <w:pStyle w:val="ListBullet"/>
      </w:pPr>
      <w:r>
        <w:rPr>
          <w:rFonts w:ascii="Calibri" w:hAnsi="Calibri"/>
          <w:sz w:val="20"/>
        </w:rPr>
        <w:t>Cambios mayores (que modifican el método, responsabilidades o alcance) incrementan el entero: 2.0.</w:t>
      </w:r>
    </w:p>
    <w:p>
      <w:pPr>
        <w:pStyle w:val="ListBullet"/>
      </w:pPr>
      <w:r>
        <w:rPr>
          <w:rFonts w:ascii="Calibri" w:hAnsi="Calibri"/>
          <w:sz w:val="20"/>
        </w:rPr>
        <w:t>Cada documento incluye un control de cambios que describe qué cambió, por qué y en qué versión.</w:t>
      </w:r>
    </w:p>
    <w:p>
      <w:pPr>
        <w:pStyle w:val="ListBullet"/>
      </w:pPr>
      <w:r>
        <w:rPr>
          <w:rFonts w:ascii="Calibri" w:hAnsi="Calibri"/>
          <w:sz w:val="20"/>
        </w:rPr>
        <w:t>Al aprobarse una nueva versión, la anterior se marca como obsoleta y se retira de los puntos de uso.</w:t>
      </w:r>
    </w:p>
    <w:p>
      <w:pPr>
        <w:keepNext/>
        <w:spacing w:before="200" w:after="60"/>
      </w:pPr>
      <w:r>
        <w:rPr>
          <w:rFonts w:ascii="Georgia" w:hAnsi="Georgia"/>
          <w:b/>
          <w:color w:val="1C242E"/>
          <w:sz w:val="22"/>
        </w:rPr>
        <w:t>5.4 Distribución, acceso y protección (7.5.3)</w:t>
      </w:r>
    </w:p>
    <w:p>
      <w:pPr>
        <w:spacing w:after="120"/>
      </w:pPr>
      <w:r>
        <w:rPr>
          <w:rFonts w:ascii="Calibri" w:hAnsi="Calibri"/>
          <w:color w:val="1C242E"/>
          <w:sz w:val="21"/>
        </w:rPr>
        <w:t>La información documentada está disponible y es idónea para su uso donde se necesita, y está protegida contra pérdida de integridad, uso indebido o pérdida de confidencialidad.</w:t>
      </w:r>
    </w:p>
    <w:p>
      <w:pPr>
        <w:pStyle w:val="ListBullet"/>
      </w:pPr>
      <w:r>
        <w:rPr>
          <w:rFonts w:ascii="Calibri" w:hAnsi="Calibri"/>
          <w:sz w:val="20"/>
        </w:rPr>
        <w:t>Existe un repositorio digital oficial donde reside la versión vigente de cada documento; es la única fuente autorizada de descarga o consulta.</w:t>
      </w:r>
    </w:p>
    <w:p>
      <w:pPr>
        <w:pStyle w:val="ListBullet"/>
      </w:pPr>
      <w:r>
        <w:rPr>
          <w:rFonts w:ascii="Calibri" w:hAnsi="Calibri"/>
          <w:sz w:val="20"/>
        </w:rPr>
        <w:t>El acceso se controla por perfil: lectura para el personal que usa los documentos y edición restringida a Gerencia Administrativa y a los responsables autorizados.</w:t>
      </w:r>
    </w:p>
    <w:p>
      <w:pPr>
        <w:pStyle w:val="ListBullet"/>
      </w:pPr>
      <w:r>
        <w:rPr>
          <w:rFonts w:ascii="Calibri" w:hAnsi="Calibri"/>
          <w:sz w:val="20"/>
        </w:rPr>
        <w:t>La distribución y el acuse de recepción de documentos críticos quedan registrados.</w:t>
      </w:r>
    </w:p>
    <w:p>
      <w:pPr>
        <w:pStyle w:val="ListBullet"/>
      </w:pPr>
      <w:r>
        <w:rPr>
          <w:rFonts w:ascii="Calibri" w:hAnsi="Calibri"/>
          <w:sz w:val="20"/>
        </w:rPr>
        <w:t>Queda prohibido el uso de copias no controladas; una impresión solo es válida si corresponde a la versión vigente del repositorio.</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Ubicación y herramienta del repositorio oficial de documentos, esquema de respaldo o copia de seguridad, y matriz de permisos de acceso (quién lee y quién edita) por área.</w:t>
            </w:r>
          </w:p>
        </w:tc>
      </w:tr>
    </w:tbl>
    <w:p>
      <w:pPr>
        <w:spacing w:after="40"/>
      </w:pPr>
    </w:p>
    <w:p>
      <w:pPr>
        <w:keepNext/>
        <w:spacing w:before="200" w:after="60"/>
      </w:pPr>
      <w:r>
        <w:rPr>
          <w:rFonts w:ascii="Georgia" w:hAnsi="Georgia"/>
          <w:b/>
          <w:color w:val="1C242E"/>
          <w:sz w:val="22"/>
        </w:rPr>
        <w:t>5.5 Almacenamiento, retención y disposición (7.5.3)</w:t>
      </w:r>
    </w:p>
    <w:p>
      <w:pPr>
        <w:spacing w:after="120"/>
      </w:pPr>
      <w:r>
        <w:rPr>
          <w:rFonts w:ascii="Calibri" w:hAnsi="Calibri"/>
          <w:color w:val="1C242E"/>
          <w:sz w:val="21"/>
        </w:rPr>
        <w:t>Cada tipo de documento y registro tiene un periodo de retención y una regla de disposición al término de ese periodo. Los documentos obsoletos que se conservan por razones de referencia o legales se identifican claramente como tales para evitar su uso involuntario.</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Tabla de retención y disposición por tipo de documento y registro (periodo de conservación, medio, responsable del resguardo y método de disposición), considerando los requisitos legales aplicables al giro fotovoltaico y a la razón social.</w:t>
            </w:r>
          </w:p>
        </w:tc>
      </w:tr>
    </w:tbl>
    <w:p>
      <w:pPr>
        <w:spacing w:after="40"/>
      </w:pPr>
    </w:p>
    <w:p>
      <w:pPr>
        <w:keepNext/>
        <w:spacing w:before="200" w:after="60"/>
      </w:pPr>
      <w:r>
        <w:rPr>
          <w:rFonts w:ascii="Georgia" w:hAnsi="Georgia"/>
          <w:b/>
          <w:color w:val="1C242E"/>
          <w:sz w:val="22"/>
        </w:rPr>
        <w:t>5.6 Control de cambios y de documentos obsoletos</w:t>
      </w:r>
    </w:p>
    <w:p>
      <w:pPr>
        <w:pStyle w:val="ListBullet"/>
      </w:pPr>
      <w:r>
        <w:rPr>
          <w:rFonts w:ascii="Calibri" w:hAnsi="Calibri"/>
          <w:sz w:val="20"/>
        </w:rPr>
        <w:t>Toda alta, cambio o baja de un documento se solicita a Gerencia Administrativa y se refleja en el Listado Maestro.</w:t>
      </w:r>
    </w:p>
    <w:p>
      <w:pPr>
        <w:pStyle w:val="ListBullet"/>
      </w:pPr>
      <w:r>
        <w:rPr>
          <w:rFonts w:ascii="Calibri" w:hAnsi="Calibri"/>
          <w:sz w:val="20"/>
        </w:rPr>
        <w:t>Al liberar una nueva versión, la versión anterior se retira de circulación y se conserva únicamente en el archivo controlado con la marca de obsoleto.</w:t>
      </w:r>
    </w:p>
    <w:p>
      <w:pPr>
        <w:pStyle w:val="ListBullet"/>
      </w:pPr>
      <w:r>
        <w:rPr>
          <w:rFonts w:ascii="Calibri" w:hAnsi="Calibri"/>
          <w:sz w:val="20"/>
        </w:rPr>
        <w:t>No se elimina evidencia dentro de su periodo de retención.</w:t>
      </w:r>
    </w:p>
    <w:p>
      <w:pPr>
        <w:keepNext/>
        <w:spacing w:before="200" w:after="60"/>
      </w:pPr>
      <w:r>
        <w:rPr>
          <w:rFonts w:ascii="Georgia" w:hAnsi="Georgia"/>
          <w:b/>
          <w:color w:val="1C242E"/>
          <w:sz w:val="22"/>
        </w:rPr>
        <w:t>5.7 Documentos de origen externo</w:t>
      </w:r>
    </w:p>
    <w:p>
      <w:pPr>
        <w:spacing w:after="120"/>
      </w:pPr>
      <w:r>
        <w:rPr>
          <w:rFonts w:ascii="Calibri" w:hAnsi="Calibri"/>
          <w:color w:val="1C242E"/>
          <w:sz w:val="21"/>
        </w:rPr>
        <w:t>Los documentos externos necesarios para el SGC (normas, fichas técnicas de fabricante, requisitos de cliente y requisitos legales aplicables) se identifican, se registran en el Listado Maestro con su fuente y fecha de referencia, y se controla su distribución para asegurar que se use la edición vigente.</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Las referencias legales y normativas se manejan de forma genérica por materia y edición vigente, sin citar números de disposición que puedan encontrarse abrogados.</w:t>
            </w:r>
          </w:p>
        </w:tc>
      </w:tr>
    </w:tbl>
    <w:p>
      <w:pPr>
        <w:spacing w:after="40"/>
      </w:pPr>
    </w:p>
    <w:p>
      <w:pPr>
        <w:keepNext/>
        <w:spacing w:before="200" w:after="60"/>
      </w:pPr>
      <w:r>
        <w:rPr>
          <w:rFonts w:ascii="Georgia" w:hAnsi="Georgia"/>
          <w:b/>
          <w:color w:val="1C242E"/>
          <w:sz w:val="22"/>
        </w:rPr>
        <w:t>5.8 Codificación de los formatos operativos vigentes</w:t>
      </w:r>
    </w:p>
    <w:p>
      <w:pPr>
        <w:spacing w:after="120"/>
      </w:pPr>
      <w:r>
        <w:rPr>
          <w:rFonts w:ascii="Calibri" w:hAnsi="Calibri"/>
          <w:color w:val="1C242E"/>
          <w:sz w:val="21"/>
        </w:rPr>
        <w:t>Los formatos que documentan la ejecución técnica de cada proyecto ya cuentan con codificación reconciliada y conservan su código vigente. Estos formatos pertenecen a Ingeniería y se generan conforme a los procedimientos PRO-ING correspondientes. No se les asigna una nueva codificación.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324"/>
            <w:shd w:val="clear" w:fill="0056B4"/>
          </w:tcPr>
          <w:p>
            <w:pPr>
              <w:jc w:val="center"/>
            </w:pPr>
            <w:r/>
            <w:r>
              <w:rPr>
                <w:rFonts w:ascii="Calibri" w:hAnsi="Calibri"/>
                <w:b/>
                <w:color w:val="FFFFFF"/>
                <w:sz w:val="17"/>
              </w:rPr>
              <w:t>Formato</w:t>
            </w:r>
          </w:p>
        </w:tc>
        <w:tc>
          <w:tcPr>
            <w:tcW w:type="dxa" w:w="3324"/>
            <w:shd w:val="clear" w:fill="0056B4"/>
          </w:tcPr>
          <w:p>
            <w:pPr>
              <w:jc w:val="center"/>
            </w:pPr>
            <w:r/>
            <w:r>
              <w:rPr>
                <w:rFonts w:ascii="Calibri" w:hAnsi="Calibri"/>
                <w:b/>
                <w:color w:val="FFFFFF"/>
                <w:sz w:val="17"/>
              </w:rPr>
              <w:t>Código vigente</w:t>
            </w:r>
          </w:p>
        </w:tc>
        <w:tc>
          <w:tcPr>
            <w:tcW w:type="dxa" w:w="3324"/>
            <w:shd w:val="clear" w:fill="0056B4"/>
          </w:tcPr>
          <w:p>
            <w:pPr>
              <w:jc w:val="center"/>
            </w:pPr>
            <w:r/>
            <w:r>
              <w:rPr>
                <w:rFonts w:ascii="Calibri" w:hAnsi="Calibri"/>
                <w:b/>
                <w:color w:val="FFFFFF"/>
                <w:sz w:val="17"/>
              </w:rPr>
              <w:t>Procedimiento de origen</w:t>
            </w:r>
          </w:p>
        </w:tc>
      </w:tr>
      <w:tr>
        <w:tc>
          <w:tcPr>
            <w:tcW w:type="dxa" w:w="3324"/>
          </w:tcPr>
          <w:p>
            <w:r/>
            <w:r>
              <w:rPr>
                <w:rFonts w:ascii="Calibri" w:hAnsi="Calibri"/>
                <w:b w:val="0"/>
                <w:sz w:val="19"/>
              </w:rPr>
              <w:t>Vuelo o levantamiento</w:t>
            </w:r>
          </w:p>
        </w:tc>
        <w:tc>
          <w:tcPr>
            <w:tcW w:type="dxa" w:w="3324"/>
          </w:tcPr>
          <w:p>
            <w:r/>
            <w:r>
              <w:rPr>
                <w:rFonts w:ascii="Calibri" w:hAnsi="Calibri"/>
                <w:b w:val="0"/>
                <w:sz w:val="19"/>
              </w:rPr>
              <w:t>FOR-ING-02</w:t>
            </w:r>
          </w:p>
        </w:tc>
        <w:tc>
          <w:tcPr>
            <w:tcW w:type="dxa" w:w="3324"/>
          </w:tcPr>
          <w:p>
            <w:r/>
            <w:r>
              <w:rPr>
                <w:rFonts w:ascii="Calibri" w:hAnsi="Calibri"/>
                <w:b w:val="0"/>
                <w:sz w:val="19"/>
              </w:rPr>
              <w:t>PRO-ING-02 Vuelo / Levantamiento</w:t>
            </w:r>
          </w:p>
        </w:tc>
      </w:tr>
      <w:tr>
        <w:tc>
          <w:tcPr>
            <w:tcW w:type="dxa" w:w="3324"/>
          </w:tcPr>
          <w:p>
            <w:r/>
            <w:r>
              <w:rPr>
                <w:rFonts w:ascii="Calibri" w:hAnsi="Calibri"/>
                <w:b w:val="0"/>
                <w:sz w:val="19"/>
              </w:rPr>
              <w:t>Encendido</w:t>
            </w:r>
          </w:p>
        </w:tc>
        <w:tc>
          <w:tcPr>
            <w:tcW w:type="dxa" w:w="3324"/>
          </w:tcPr>
          <w:p>
            <w:r/>
            <w:r>
              <w:rPr>
                <w:rFonts w:ascii="Calibri" w:hAnsi="Calibri"/>
                <w:b w:val="0"/>
                <w:sz w:val="19"/>
              </w:rPr>
              <w:t>FOR-ING-04</w:t>
            </w:r>
          </w:p>
        </w:tc>
        <w:tc>
          <w:tcPr>
            <w:tcW w:type="dxa" w:w="3324"/>
          </w:tcPr>
          <w:p>
            <w:r/>
            <w:r>
              <w:rPr>
                <w:rFonts w:ascii="Calibri" w:hAnsi="Calibri"/>
                <w:b w:val="0"/>
                <w:sz w:val="19"/>
              </w:rPr>
              <w:t>PRO-ING-04 Encendido</w:t>
            </w:r>
          </w:p>
        </w:tc>
      </w:tr>
      <w:tr>
        <w:tc>
          <w:tcPr>
            <w:tcW w:type="dxa" w:w="3324"/>
          </w:tcPr>
          <w:p>
            <w:r/>
            <w:r>
              <w:rPr>
                <w:rFonts w:ascii="Calibri" w:hAnsi="Calibri"/>
                <w:b w:val="0"/>
                <w:sz w:val="19"/>
              </w:rPr>
              <w:t>Revisiones</w:t>
            </w:r>
          </w:p>
        </w:tc>
        <w:tc>
          <w:tcPr>
            <w:tcW w:type="dxa" w:w="3324"/>
          </w:tcPr>
          <w:p>
            <w:r/>
            <w:r>
              <w:rPr>
                <w:rFonts w:ascii="Calibri" w:hAnsi="Calibri"/>
                <w:b w:val="0"/>
                <w:sz w:val="19"/>
              </w:rPr>
              <w:t>FOR-ING-05</w:t>
            </w:r>
          </w:p>
        </w:tc>
        <w:tc>
          <w:tcPr>
            <w:tcW w:type="dxa" w:w="3324"/>
          </w:tcPr>
          <w:p>
            <w:r/>
            <w:r>
              <w:rPr>
                <w:rFonts w:ascii="Calibri" w:hAnsi="Calibri"/>
                <w:b w:val="0"/>
                <w:sz w:val="19"/>
              </w:rPr>
              <w:t>PRO-ING-05 Revisiones</w:t>
            </w:r>
          </w:p>
        </w:tc>
      </w:tr>
      <w:tr>
        <w:tc>
          <w:tcPr>
            <w:tcW w:type="dxa" w:w="3324"/>
          </w:tcPr>
          <w:p>
            <w:r/>
            <w:r>
              <w:rPr>
                <w:rFonts w:ascii="Calibri" w:hAnsi="Calibri"/>
                <w:b w:val="0"/>
                <w:sz w:val="19"/>
              </w:rPr>
              <w:t>Acta de proyecto</w:t>
            </w:r>
          </w:p>
        </w:tc>
        <w:tc>
          <w:tcPr>
            <w:tcW w:type="dxa" w:w="3324"/>
          </w:tcPr>
          <w:p>
            <w:r/>
            <w:r>
              <w:rPr>
                <w:rFonts w:ascii="Calibri" w:hAnsi="Calibri"/>
                <w:b w:val="0"/>
                <w:sz w:val="19"/>
              </w:rPr>
              <w:t>Por validar</w:t>
            </w:r>
          </w:p>
        </w:tc>
        <w:tc>
          <w:tcPr>
            <w:tcW w:type="dxa" w:w="3324"/>
          </w:tcPr>
          <w:p>
            <w:r/>
            <w:r>
              <w:rPr>
                <w:rFonts w:ascii="Calibri" w:hAnsi="Calibri"/>
                <w:b w:val="0"/>
                <w:sz w:val="19"/>
              </w:rPr>
              <w:t>Por validar</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Los códigos FOR-ING-02, FOR-ING-04 y FOR-ING-05 reconciliaron la codificación previa (FOR-VUE-001, FOR-ENC-001 y FOR-REV-001) y son los vigentes. No deben crearse códigos FOR-OPE nuevos para estos formatos.</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Versión y fecha de emisión vigente de cada formato operativo (FOR-ING-02, FOR-ING-04, FOR-ING-05), y código, procedimiento de origen y área propietaria del acta de proyecto, que a la fecha no cuenta con código reconciliado en la familia FOR-ING.</w:t>
            </w:r>
          </w:p>
        </w:tc>
      </w:tr>
    </w:tbl>
    <w:p>
      <w:pPr>
        <w:spacing w:after="40"/>
      </w:pPr>
    </w:p>
    <w:p>
      <w:pPr>
        <w:keepNext/>
        <w:spacing w:before="280" w:after="80"/>
        <w:pBdr>
          <w:bottom w:val="single" w:sz="8" w:color="F0E528"/>
        </w:pBdr>
      </w:pPr>
      <w:r>
        <w:rPr>
          <w:rFonts w:ascii="Georgia" w:hAnsi="Georgia"/>
          <w:b/>
          <w:color w:val="0056B4"/>
          <w:sz w:val="26"/>
        </w:rPr>
        <w:t>6. Trello como fuente de la verdad</w:t>
      </w:r>
    </w:p>
    <w:p>
      <w:pPr>
        <w:spacing w:after="120"/>
      </w:pPr>
      <w:r>
        <w:rPr>
          <w:rFonts w:ascii="Calibri" w:hAnsi="Calibri"/>
          <w:color w:val="1C242E"/>
          <w:sz w:val="21"/>
        </w:rPr>
        <w:t>El tablero de Trello es la fuente de la verdad oficial para el seguimiento de proyectos y su evidencia asociada. Este procedimiento formaliza como política el uso que ya se realiza en la práctica, definiendo el flujo de inicio a fin y la nomenclatura de listas y tarjetas.</w:t>
      </w:r>
    </w:p>
    <w:p>
      <w:pPr>
        <w:keepNext/>
        <w:spacing w:before="200" w:after="60"/>
      </w:pPr>
      <w:r>
        <w:rPr>
          <w:rFonts w:ascii="Georgia" w:hAnsi="Georgia"/>
          <w:b/>
          <w:color w:val="1C242E"/>
          <w:sz w:val="22"/>
        </w:rPr>
        <w:t>6.1 Alcance del tablero</w:t>
      </w:r>
    </w:p>
    <w:p>
      <w:pPr>
        <w:spacing w:after="120"/>
      </w:pPr>
      <w:r>
        <w:rPr>
          <w:rFonts w:ascii="Calibri" w:hAnsi="Calibri"/>
          <w:color w:val="1C242E"/>
          <w:sz w:val="21"/>
        </w:rPr>
        <w:t>En el tablero residen todos los proyectos activos, su estado real y la evidencia generada en cada etapa. Cualquier consulta sobre el avance de un proyecto se resuelve en el tablero, no en registros paralelos ni en copias locales.</w:t>
      </w:r>
    </w:p>
    <w:p>
      <w:pPr>
        <w:keepNext/>
        <w:spacing w:before="200" w:after="60"/>
      </w:pPr>
      <w:r>
        <w:rPr>
          <w:rFonts w:ascii="Georgia" w:hAnsi="Georgia"/>
          <w:b/>
          <w:color w:val="1C242E"/>
          <w:sz w:val="22"/>
        </w:rPr>
        <w:t>6.2 Proceso de inicio a fin</w:t>
      </w:r>
    </w:p>
    <w:p>
      <w:pPr>
        <w:pStyle w:val="ListNumber"/>
      </w:pPr>
      <w:r>
        <w:rPr>
          <w:b/>
          <w:sz w:val="20"/>
        </w:rPr>
        <w:t xml:space="preserve">Alta de la tarjeta. </w:t>
      </w:r>
      <w:r>
        <w:rPr>
          <w:rFonts w:ascii="Calibri" w:hAnsi="Calibri"/>
          <w:sz w:val="20"/>
        </w:rPr>
        <w:t>Al confirmarse un proyecto se crea una tarjeta que lo representa de principio a fin.</w:t>
      </w:r>
    </w:p>
    <w:p>
      <w:pPr>
        <w:pStyle w:val="ListNumber"/>
      </w:pPr>
      <w:r>
        <w:rPr>
          <w:b/>
          <w:sz w:val="20"/>
        </w:rPr>
        <w:t xml:space="preserve">Avance por listas. </w:t>
      </w:r>
      <w:r>
        <w:rPr>
          <w:rFonts w:ascii="Calibri" w:hAnsi="Calibri"/>
          <w:sz w:val="20"/>
        </w:rPr>
        <w:t>La tarjeta avanza por las listas que representan las etapas del proyecto (comercial, ingeniería, instalación, encendido y revisión, cierre y postventa). Solo el responsable de cada etapa mueve la tarjeta a la lista siguiente.</w:t>
      </w:r>
    </w:p>
    <w:p>
      <w:pPr>
        <w:pStyle w:val="ListNumber"/>
      </w:pPr>
      <w:r>
        <w:rPr>
          <w:b/>
          <w:sz w:val="20"/>
        </w:rPr>
        <w:t xml:space="preserve">Registro de evidencia. </w:t>
      </w:r>
      <w:r>
        <w:rPr>
          <w:rFonts w:ascii="Calibri" w:hAnsi="Calibri"/>
          <w:sz w:val="20"/>
        </w:rPr>
        <w:t>En cada etapa se adjunta a la tarjeta el formato codificado correspondiente (por ejemplo, vuelo, encendido y revisiones de Ingeniería), conservando el código del formato en el archivo adjunto.</w:t>
      </w:r>
    </w:p>
    <w:p>
      <w:pPr>
        <w:pStyle w:val="ListNumber"/>
      </w:pPr>
      <w:r>
        <w:rPr>
          <w:b/>
          <w:sz w:val="20"/>
        </w:rPr>
        <w:t xml:space="preserve">Cierre. </w:t>
      </w:r>
      <w:r>
        <w:rPr>
          <w:rFonts w:ascii="Calibri" w:hAnsi="Calibri"/>
          <w:sz w:val="20"/>
        </w:rPr>
        <w:t>Al concluir, la tarjeta pasa a la lista de cierre con la evidencia completa; la postventa da seguimiento desde su propia lista.</w:t>
      </w:r>
    </w:p>
    <w:p>
      <w:pPr>
        <w:keepNext/>
        <w:spacing w:before="200" w:after="60"/>
      </w:pPr>
      <w:r>
        <w:rPr>
          <w:rFonts w:ascii="Georgia" w:hAnsi="Georgia"/>
          <w:b/>
          <w:color w:val="1C242E"/>
          <w:sz w:val="22"/>
        </w:rPr>
        <w:t>6.3 Nomenclatura de listas y tarjetas</w:t>
      </w:r>
    </w:p>
    <w:p>
      <w:pPr>
        <w:pStyle w:val="ListBullet"/>
      </w:pPr>
      <w:r>
        <w:rPr>
          <w:rFonts w:ascii="Calibri" w:hAnsi="Calibri"/>
          <w:sz w:val="20"/>
        </w:rPr>
        <w:t>Las listas nombran las etapas del proyecto de forma consistente y ordenada según el flujo operativo.</w:t>
      </w:r>
    </w:p>
    <w:p>
      <w:pPr>
        <w:pStyle w:val="ListBullet"/>
      </w:pPr>
      <w:r>
        <w:rPr>
          <w:rFonts w:ascii="Calibri" w:hAnsi="Calibri"/>
          <w:sz w:val="20"/>
        </w:rPr>
        <w:t>El título de cada tarjeta identifica de forma única el proyecto (unidad de negocio, cliente y proyecto o ubicación).</w:t>
      </w:r>
    </w:p>
    <w:p>
      <w:pPr>
        <w:pStyle w:val="ListBullet"/>
      </w:pPr>
      <w:r>
        <w:rPr>
          <w:rFonts w:ascii="Calibri" w:hAnsi="Calibri"/>
          <w:sz w:val="20"/>
        </w:rPr>
        <w:t>Se usan etiquetas para el área responsable y el estado de la tarjeta.</w:t>
      </w:r>
    </w:p>
    <w:p>
      <w:pPr>
        <w:pStyle w:val="ListBullet"/>
      </w:pPr>
      <w:r>
        <w:rPr>
          <w:rFonts w:ascii="Calibri" w:hAnsi="Calibri"/>
          <w:sz w:val="20"/>
        </w:rPr>
        <w:t>Los archivos adjuntos conservan el código del formato al que corresponden.</w:t>
      </w:r>
    </w:p>
    <w:p>
      <w:pPr>
        <w:keepNext/>
        <w:spacing w:before="200" w:after="60"/>
      </w:pPr>
      <w:r>
        <w:rPr>
          <w:rFonts w:ascii="Georgia" w:hAnsi="Georgia"/>
          <w:b/>
          <w:color w:val="1C242E"/>
          <w:sz w:val="22"/>
        </w:rPr>
        <w:t>6.4 Control y respaldo del tablero</w:t>
      </w:r>
    </w:p>
    <w:p>
      <w:pPr>
        <w:spacing w:after="120"/>
      </w:pPr>
      <w:r>
        <w:rPr>
          <w:rFonts w:ascii="Calibri" w:hAnsi="Calibri"/>
          <w:color w:val="1C242E"/>
          <w:sz w:val="21"/>
        </w:rPr>
        <w:t>El tablero se administra bajo un rol definido. Los cambios de estructura (altas o cambios de listas, o cambios de convención de nomenclatura) se acuerdan con Gerencia Administrativa para mantener la coherencia con el SGC.</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Nombre real del tablero de Trello y nombres de las listas actuales en uso, para reconciliarlos con la nomenclatura formal de este procedimiento.</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Rol o persona que administra el tablero de Trello (altas de tarjetas, gestión de listas y permisos de acceso).</w:t>
            </w:r>
          </w:p>
        </w:tc>
      </w:tr>
    </w:tbl>
    <w:p>
      <w:pPr>
        <w:spacing w:after="40"/>
      </w:pPr>
    </w:p>
    <w:p>
      <w:pPr>
        <w:keepNext/>
        <w:spacing w:before="280" w:after="80"/>
        <w:pBdr>
          <w:bottom w:val="single" w:sz="8" w:color="F0E528"/>
        </w:pBdr>
      </w:pPr>
      <w:r>
        <w:rPr>
          <w:rFonts w:ascii="Georgia" w:hAnsi="Georgia"/>
          <w:b/>
          <w:color w:val="0056B4"/>
          <w:sz w:val="26"/>
        </w:rPr>
        <w:t>7. Registros</w:t>
      </w:r>
    </w:p>
    <w:p>
      <w:pPr>
        <w:spacing w:after="120"/>
      </w:pPr>
      <w:r>
        <w:rPr>
          <w:rFonts w:ascii="Calibri" w:hAnsi="Calibri"/>
          <w:color w:val="1C242E"/>
          <w:sz w:val="21"/>
        </w:rPr>
        <w:t>Este procedimiento genera y controla los siguientes registros, que se resguardan conforme a la tabla de retención y disposición del apartado 5.5.</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Registro</w:t>
            </w:r>
          </w:p>
        </w:tc>
        <w:tc>
          <w:tcPr>
            <w:tcW w:type="dxa" w:w="4986"/>
            <w:shd w:val="clear" w:fill="0056B4"/>
          </w:tcPr>
          <w:p>
            <w:pPr>
              <w:jc w:val="center"/>
            </w:pPr>
            <w:r/>
            <w:r>
              <w:rPr>
                <w:rFonts w:ascii="Calibri" w:hAnsi="Calibri"/>
                <w:b/>
                <w:color w:val="FFFFFF"/>
                <w:sz w:val="17"/>
              </w:rPr>
              <w:t>Responsable del resguardo</w:t>
            </w:r>
          </w:p>
        </w:tc>
      </w:tr>
      <w:tr>
        <w:tc>
          <w:tcPr>
            <w:tcW w:type="dxa" w:w="4986"/>
          </w:tcPr>
          <w:p>
            <w:r/>
            <w:r>
              <w:rPr>
                <w:rFonts w:ascii="Calibri" w:hAnsi="Calibri"/>
                <w:b w:val="0"/>
                <w:sz w:val="19"/>
              </w:rPr>
              <w:t>Listado Maestro de Documentos (LME)</w:t>
            </w:r>
          </w:p>
        </w:tc>
        <w:tc>
          <w:tcPr>
            <w:tcW w:type="dxa" w:w="4986"/>
          </w:tcPr>
          <w:p>
            <w:r/>
            <w:r>
              <w:rPr>
                <w:rFonts w:ascii="Calibri" w:hAnsi="Calibri"/>
                <w:b w:val="0"/>
                <w:sz w:val="19"/>
              </w:rPr>
              <w:t>Gerencia Administrativa</w:t>
            </w:r>
          </w:p>
        </w:tc>
      </w:tr>
      <w:tr>
        <w:tc>
          <w:tcPr>
            <w:tcW w:type="dxa" w:w="4986"/>
          </w:tcPr>
          <w:p>
            <w:r/>
            <w:r>
              <w:rPr>
                <w:rFonts w:ascii="Calibri" w:hAnsi="Calibri"/>
                <w:b w:val="0"/>
                <w:sz w:val="19"/>
              </w:rPr>
              <w:t>Solicitudes de alta, cambio o baja de documentos</w:t>
            </w:r>
          </w:p>
        </w:tc>
        <w:tc>
          <w:tcPr>
            <w:tcW w:type="dxa" w:w="4986"/>
          </w:tcPr>
          <w:p>
            <w:r/>
            <w:r>
              <w:rPr>
                <w:rFonts w:ascii="Calibri" w:hAnsi="Calibri"/>
                <w:b w:val="0"/>
                <w:sz w:val="19"/>
              </w:rPr>
              <w:t>Gerencia Administrativa</w:t>
            </w:r>
          </w:p>
        </w:tc>
      </w:tr>
      <w:tr>
        <w:tc>
          <w:tcPr>
            <w:tcW w:type="dxa" w:w="4986"/>
          </w:tcPr>
          <w:p>
            <w:r/>
            <w:r>
              <w:rPr>
                <w:rFonts w:ascii="Calibri" w:hAnsi="Calibri"/>
                <w:b w:val="0"/>
                <w:sz w:val="19"/>
              </w:rPr>
              <w:t>Control de cambios de cada documento</w:t>
            </w:r>
          </w:p>
        </w:tc>
        <w:tc>
          <w:tcPr>
            <w:tcW w:type="dxa" w:w="4986"/>
          </w:tcPr>
          <w:p>
            <w:r/>
            <w:r>
              <w:rPr>
                <w:rFonts w:ascii="Calibri" w:hAnsi="Calibri"/>
                <w:b w:val="0"/>
                <w:sz w:val="19"/>
              </w:rPr>
              <w:t>Área que elabora el documento</w:t>
            </w:r>
          </w:p>
        </w:tc>
      </w:tr>
      <w:tr>
        <w:tc>
          <w:tcPr>
            <w:tcW w:type="dxa" w:w="4986"/>
          </w:tcPr>
          <w:p>
            <w:r/>
            <w:r>
              <w:rPr>
                <w:rFonts w:ascii="Calibri" w:hAnsi="Calibri"/>
                <w:b w:val="0"/>
                <w:sz w:val="19"/>
              </w:rPr>
              <w:t>Acuse de distribución de documentos críticos</w:t>
            </w:r>
          </w:p>
        </w:tc>
        <w:tc>
          <w:tcPr>
            <w:tcW w:type="dxa" w:w="4986"/>
          </w:tcPr>
          <w:p>
            <w:r/>
            <w:r>
              <w:rPr>
                <w:rFonts w:ascii="Calibri" w:hAnsi="Calibri"/>
                <w:b w:val="0"/>
                <w:sz w:val="19"/>
              </w:rPr>
              <w:t>Gerencia Administrativa</w:t>
            </w:r>
          </w:p>
        </w:tc>
      </w:tr>
      <w:tr>
        <w:tc>
          <w:tcPr>
            <w:tcW w:type="dxa" w:w="4986"/>
          </w:tcPr>
          <w:p>
            <w:r/>
            <w:r>
              <w:rPr>
                <w:rFonts w:ascii="Calibri" w:hAnsi="Calibri"/>
                <w:b w:val="0"/>
                <w:sz w:val="19"/>
              </w:rPr>
              <w:t>Registro de documentos de origen externo</w:t>
            </w:r>
          </w:p>
        </w:tc>
        <w:tc>
          <w:tcPr>
            <w:tcW w:type="dxa" w:w="4986"/>
          </w:tcPr>
          <w:p>
            <w:r/>
            <w:r>
              <w:rPr>
                <w:rFonts w:ascii="Calibri" w:hAnsi="Calibri"/>
                <w:b w:val="0"/>
                <w:sz w:val="19"/>
              </w:rPr>
              <w:t>Gerencia Administrativa</w:t>
            </w:r>
          </w:p>
        </w:tc>
      </w:tr>
      <w:tr>
        <w:tc>
          <w:tcPr>
            <w:tcW w:type="dxa" w:w="4986"/>
          </w:tcPr>
          <w:p>
            <w:r/>
            <w:r>
              <w:rPr>
                <w:rFonts w:ascii="Calibri" w:hAnsi="Calibri"/>
                <w:b w:val="0"/>
                <w:sz w:val="19"/>
              </w:rPr>
              <w:t>Evidencia operativa adjunta en Trello</w:t>
            </w:r>
          </w:p>
        </w:tc>
        <w:tc>
          <w:tcPr>
            <w:tcW w:type="dxa" w:w="4986"/>
          </w:tcPr>
          <w:p>
            <w:r/>
            <w:r>
              <w:rPr>
                <w:rFonts w:ascii="Calibri" w:hAnsi="Calibri"/>
                <w:b w:val="0"/>
                <w:sz w:val="19"/>
              </w:rPr>
              <w:t>Coordinación responsable de cada etapa</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Periodo de retención y método de disposición de cada registro (ver tabla del apartado 5.5).</w:t>
            </w:r>
          </w:p>
        </w:tc>
      </w:tr>
    </w:tbl>
    <w:p>
      <w:pPr>
        <w:spacing w:after="40"/>
      </w:pPr>
    </w:p>
    <w:p>
      <w:pPr>
        <w:keepNext/>
        <w:spacing w:before="280" w:after="80"/>
        <w:pBdr>
          <w:bottom w:val="single" w:sz="8" w:color="F0E528"/>
        </w:pBdr>
      </w:pPr>
      <w:r>
        <w:rPr>
          <w:rFonts w:ascii="Georgia" w:hAnsi="Georgia"/>
          <w:b/>
          <w:color w:val="0056B4"/>
          <w:sz w:val="26"/>
        </w:rPr>
        <w:t>8. Referencias</w:t>
      </w:r>
    </w:p>
    <w:p>
      <w:pPr>
        <w:pStyle w:val="ListBullet"/>
      </w:pPr>
      <w:r>
        <w:rPr>
          <w:rFonts w:ascii="Calibri" w:hAnsi="Calibri"/>
          <w:sz w:val="20"/>
        </w:rPr>
        <w:t>ISO 9001:2015, cláusula 7.5 Información documentada (7.5.1 Generalidades, 7.5.2 Creación y actualización, 7.5.3 Control de la información documentada).</w:t>
      </w:r>
    </w:p>
    <w:p>
      <w:pPr>
        <w:pStyle w:val="ListBullet"/>
      </w:pPr>
      <w:r>
        <w:rPr>
          <w:rFonts w:ascii="Calibri" w:hAnsi="Calibri"/>
          <w:sz w:val="20"/>
        </w:rPr>
        <w:t>Manual de Calidad MC-SP-01.</w:t>
      </w:r>
    </w:p>
    <w:p>
      <w:pPr>
        <w:pStyle w:val="ListBullet"/>
      </w:pPr>
      <w:r>
        <w:rPr>
          <w:rFonts w:ascii="Calibri" w:hAnsi="Calibri"/>
          <w:sz w:val="20"/>
        </w:rPr>
        <w:t>PRO-ING-02 Vuelo / Levantamiento, PRO-ING-04 Encendido y PRO-ING-05 Revisiones, que definen los formatos técnicos FOR-ING-02, FOR-ING-04 y FOR-ING-05.</w:t>
      </w:r>
    </w:p>
    <w:p>
      <w:pPr>
        <w:pStyle w:val="ListBullet"/>
      </w:pPr>
      <w:r>
        <w:rPr>
          <w:rFonts w:ascii="Calibri" w:hAnsi="Calibri"/>
          <w:sz w:val="20"/>
        </w:rPr>
        <w:t>Procedimientos de Instalaciones y Operaciones (PRO-OPE) y de Almacén (PRO-ALM), que reconocen la frontera de que el encendido corresponde a Ingeniería (PRO-ING-04).</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Las referencias legales y normativas se manejan de forma genérica por materia y edición vigente, sin citar números de disposición que puedan encontrarse abrogados.</w:t>
            </w:r>
          </w:p>
        </w:tc>
      </w:tr>
    </w:tbl>
    <w:p>
      <w:pPr>
        <w:spacing w:after="40"/>
      </w:pPr>
    </w:p>
    <w:p>
      <w:pPr>
        <w:keepNext/>
        <w:spacing w:before="280" w:after="80"/>
        <w:pBdr>
          <w:bottom w:val="single" w:sz="8" w:color="F0E528"/>
        </w:pBdr>
      </w:pPr>
      <w:r>
        <w:rPr>
          <w:rFonts w:ascii="Georgia" w:hAnsi="Georgia"/>
          <w:b/>
          <w:color w:val="0056B4"/>
          <w:sz w:val="26"/>
        </w:rPr>
        <w:t>ANEXO A. LISTADO MAESTRO DE DOCUMENTOS (ESTRUCTURA)</w:t>
      </w:r>
    </w:p>
    <w:p>
      <w:pPr>
        <w:spacing w:after="120"/>
      </w:pPr>
      <w:r>
        <w:rPr>
          <w:rFonts w:ascii="Calibri" w:hAnsi="Calibri"/>
          <w:color w:val="1C242E"/>
          <w:sz w:val="21"/>
        </w:rPr>
        <w:t>El Listado Maestro de Documentos (LME) es el registro central que identifica todos los documentos controlados vigentes del SGC, tanto internos como de origen externo. Lo administra Gerencia Administrativa y se actualiza con cada alta, cambio o baja. A continuación se define su estructura; su contenido es un registro vivo.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Campo</w:t>
            </w:r>
          </w:p>
        </w:tc>
        <w:tc>
          <w:tcPr>
            <w:tcW w:type="dxa" w:w="4986"/>
            <w:shd w:val="clear" w:fill="0056B4"/>
          </w:tcPr>
          <w:p>
            <w:pPr>
              <w:jc w:val="center"/>
            </w:pPr>
            <w:r/>
            <w:r>
              <w:rPr>
                <w:rFonts w:ascii="Calibri" w:hAnsi="Calibri"/>
                <w:b/>
                <w:color w:val="FFFFFF"/>
                <w:sz w:val="17"/>
              </w:rPr>
              <w:t>Descripción</w:t>
            </w:r>
          </w:p>
        </w:tc>
      </w:tr>
      <w:tr>
        <w:tc>
          <w:tcPr>
            <w:tcW w:type="dxa" w:w="4986"/>
          </w:tcPr>
          <w:p>
            <w:r/>
            <w:r>
              <w:rPr>
                <w:rFonts w:ascii="Calibri" w:hAnsi="Calibri"/>
                <w:b w:val="0"/>
                <w:sz w:val="19"/>
              </w:rPr>
              <w:t>Código</w:t>
            </w:r>
          </w:p>
        </w:tc>
        <w:tc>
          <w:tcPr>
            <w:tcW w:type="dxa" w:w="4986"/>
          </w:tcPr>
          <w:p>
            <w:r/>
            <w:r>
              <w:rPr>
                <w:rFonts w:ascii="Calibri" w:hAnsi="Calibri"/>
                <w:b w:val="0"/>
                <w:sz w:val="19"/>
              </w:rPr>
              <w:t>Identificador único (prefijo, ámbito y consecutivo)</w:t>
            </w:r>
          </w:p>
        </w:tc>
      </w:tr>
      <w:tr>
        <w:tc>
          <w:tcPr>
            <w:tcW w:type="dxa" w:w="4986"/>
          </w:tcPr>
          <w:p>
            <w:r/>
            <w:r>
              <w:rPr>
                <w:rFonts w:ascii="Calibri" w:hAnsi="Calibri"/>
                <w:b w:val="0"/>
                <w:sz w:val="19"/>
              </w:rPr>
              <w:t>Nombre</w:t>
            </w:r>
          </w:p>
        </w:tc>
        <w:tc>
          <w:tcPr>
            <w:tcW w:type="dxa" w:w="4986"/>
          </w:tcPr>
          <w:p>
            <w:r/>
            <w:r>
              <w:rPr>
                <w:rFonts w:ascii="Calibri" w:hAnsi="Calibri"/>
                <w:b w:val="0"/>
                <w:sz w:val="19"/>
              </w:rPr>
              <w:t>Título del documento</w:t>
            </w:r>
          </w:p>
        </w:tc>
      </w:tr>
      <w:tr>
        <w:tc>
          <w:tcPr>
            <w:tcW w:type="dxa" w:w="4986"/>
          </w:tcPr>
          <w:p>
            <w:r/>
            <w:r>
              <w:rPr>
                <w:rFonts w:ascii="Calibri" w:hAnsi="Calibri"/>
                <w:b w:val="0"/>
                <w:sz w:val="19"/>
              </w:rPr>
              <w:t>Tipo</w:t>
            </w:r>
          </w:p>
        </w:tc>
        <w:tc>
          <w:tcPr>
            <w:tcW w:type="dxa" w:w="4986"/>
          </w:tcPr>
          <w:p>
            <w:r/>
            <w:r>
              <w:rPr>
                <w:rFonts w:ascii="Calibri" w:hAnsi="Calibri"/>
                <w:b w:val="0"/>
                <w:sz w:val="19"/>
              </w:rPr>
              <w:t>Manual, política, procedimiento, instructivo, plan, formato, registro u otro</w:t>
            </w:r>
          </w:p>
        </w:tc>
      </w:tr>
      <w:tr>
        <w:tc>
          <w:tcPr>
            <w:tcW w:type="dxa" w:w="4986"/>
          </w:tcPr>
          <w:p>
            <w:r/>
            <w:r>
              <w:rPr>
                <w:rFonts w:ascii="Calibri" w:hAnsi="Calibri"/>
                <w:b w:val="0"/>
                <w:sz w:val="19"/>
              </w:rPr>
              <w:t>Versión</w:t>
            </w:r>
          </w:p>
        </w:tc>
        <w:tc>
          <w:tcPr>
            <w:tcW w:type="dxa" w:w="4986"/>
          </w:tcPr>
          <w:p>
            <w:r/>
            <w:r>
              <w:rPr>
                <w:rFonts w:ascii="Calibri" w:hAnsi="Calibri"/>
                <w:b w:val="0"/>
                <w:sz w:val="19"/>
              </w:rPr>
              <w:t>Versión vigente</w:t>
            </w:r>
          </w:p>
        </w:tc>
      </w:tr>
      <w:tr>
        <w:tc>
          <w:tcPr>
            <w:tcW w:type="dxa" w:w="4986"/>
          </w:tcPr>
          <w:p>
            <w:r/>
            <w:r>
              <w:rPr>
                <w:rFonts w:ascii="Calibri" w:hAnsi="Calibri"/>
                <w:b w:val="0"/>
                <w:sz w:val="19"/>
              </w:rPr>
              <w:t>Estado</w:t>
            </w:r>
          </w:p>
        </w:tc>
        <w:tc>
          <w:tcPr>
            <w:tcW w:type="dxa" w:w="4986"/>
          </w:tcPr>
          <w:p>
            <w:r/>
            <w:r>
              <w:rPr>
                <w:rFonts w:ascii="Calibri" w:hAnsi="Calibri"/>
                <w:b w:val="0"/>
                <w:sz w:val="19"/>
              </w:rPr>
              <w:t>Borrador, vigente u obsoleto</w:t>
            </w:r>
          </w:p>
        </w:tc>
      </w:tr>
      <w:tr>
        <w:tc>
          <w:tcPr>
            <w:tcW w:type="dxa" w:w="4986"/>
          </w:tcPr>
          <w:p>
            <w:r/>
            <w:r>
              <w:rPr>
                <w:rFonts w:ascii="Calibri" w:hAnsi="Calibri"/>
                <w:b w:val="0"/>
                <w:sz w:val="19"/>
              </w:rPr>
              <w:t>Fecha</w:t>
            </w:r>
          </w:p>
        </w:tc>
        <w:tc>
          <w:tcPr>
            <w:tcW w:type="dxa" w:w="4986"/>
          </w:tcPr>
          <w:p>
            <w:r/>
            <w:r>
              <w:rPr>
                <w:rFonts w:ascii="Calibri" w:hAnsi="Calibri"/>
                <w:b w:val="0"/>
                <w:sz w:val="19"/>
              </w:rPr>
              <w:t>Fecha de la versión vigente</w:t>
            </w:r>
          </w:p>
        </w:tc>
      </w:tr>
      <w:tr>
        <w:tc>
          <w:tcPr>
            <w:tcW w:type="dxa" w:w="4986"/>
          </w:tcPr>
          <w:p>
            <w:r/>
            <w:r>
              <w:rPr>
                <w:rFonts w:ascii="Calibri" w:hAnsi="Calibri"/>
                <w:b w:val="0"/>
                <w:sz w:val="19"/>
              </w:rPr>
              <w:t>Área o custodio</w:t>
            </w:r>
          </w:p>
        </w:tc>
        <w:tc>
          <w:tcPr>
            <w:tcW w:type="dxa" w:w="4986"/>
          </w:tcPr>
          <w:p>
            <w:r/>
            <w:r>
              <w:rPr>
                <w:rFonts w:ascii="Calibri" w:hAnsi="Calibri"/>
                <w:b w:val="0"/>
                <w:sz w:val="19"/>
              </w:rPr>
              <w:t>Área propietaria y responsable del resguardo</w:t>
            </w:r>
          </w:p>
        </w:tc>
      </w:tr>
      <w:tr>
        <w:tc>
          <w:tcPr>
            <w:tcW w:type="dxa" w:w="4986"/>
          </w:tcPr>
          <w:p>
            <w:r/>
            <w:r>
              <w:rPr>
                <w:rFonts w:ascii="Calibri" w:hAnsi="Calibri"/>
                <w:b w:val="0"/>
                <w:sz w:val="19"/>
              </w:rPr>
              <w:t>Origen</w:t>
            </w:r>
          </w:p>
        </w:tc>
        <w:tc>
          <w:tcPr>
            <w:tcW w:type="dxa" w:w="4986"/>
          </w:tcPr>
          <w:p>
            <w:r/>
            <w:r>
              <w:rPr>
                <w:rFonts w:ascii="Calibri" w:hAnsi="Calibri"/>
                <w:b w:val="0"/>
                <w:sz w:val="19"/>
              </w:rPr>
              <w:t>Interno o externo</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Inventario completo de documentos vigentes con su versión, fecha y estado para poblar el Listado Maestro, incluyendo los documentos ya emitidos con prefijos y ámbitos incorporados a la taxonomía del apartado 5.1.</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Control de información documentada y codificación de formatos · PRO-DOC-001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