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Coordinador de Instalaciones</w:t>
      </w:r>
    </w:p>
    <w:p>
      <w:pPr>
        <w:jc w:val="center"/>
      </w:pPr>
      <w:r>
        <w:rPr>
          <w:color w:val="F0E528"/>
          <w:sz w:val="24"/>
        </w:rPr>
        <w:t>________</w:t>
      </w:r>
    </w:p>
    <w:p>
      <w:pPr>
        <w:jc w:val="center"/>
      </w:pPr>
      <w:r>
        <w:rPr>
          <w:rFonts w:ascii="Georgia" w:hAnsi="Georgia"/>
          <w:i/>
          <w:color w:val="595959"/>
          <w:sz w:val="26"/>
        </w:rPr>
        <w:t>Perfil de Puesto controlado</w:t>
      </w:r>
    </w:p>
    <w:p>
      <w:pPr>
        <w:spacing w:before="600"/>
        <w:jc w:val="center"/>
      </w:pPr>
      <w:r>
        <w:rPr>
          <w:b/>
          <w:color w:val="1C242E"/>
          <w:sz w:val="22"/>
        </w:rPr>
        <w:t>Soluciones Energéticas JEA, S.A. de C.V.</w:t>
      </w:r>
    </w:p>
    <w:p>
      <w:pPr>
        <w:jc w:val="center"/>
      </w:pPr>
      <w:r>
        <w:rPr>
          <w:color w:val="595959"/>
          <w:sz w:val="20"/>
        </w:rPr>
        <w:t>PER-CIS  ·  Versión 1  ·  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PER-CIS</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t>Por definir</w:t>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de Operaciones</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de Operaciones</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Confidencial</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Frentes de obra asignados (sitios por validar)</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8 de septiembre de 2026</w:t>
            </w:r>
          </w:p>
        </w:tc>
        <w:tc>
          <w:tcPr>
            <w:tcW w:type="dxa" w:w="5584"/>
          </w:tcPr>
          <w:p>
            <w:r/>
            <w:r>
              <w:rPr>
                <w:rFonts w:ascii="Calibri" w:hAnsi="Calibri"/>
                <w:b w:val="0"/>
                <w:sz w:val="19"/>
              </w:rPr>
              <w:t>Emisión inicial como documento controlado del SGC. Migración del perfil editorial a formato ISO, incorporando las responsabilidades del SGC del puesto y los indicadores del puesto (KPIs).</w:t>
            </w:r>
          </w:p>
        </w:tc>
        <w:tc>
          <w:tcPr>
            <w:tcW w:type="dxa" w:w="1596"/>
          </w:tcPr>
          <w:p>
            <w:r/>
            <w:r>
              <w:rPr>
                <w:rFonts w:ascii="Calibri" w:hAnsi="Calibri"/>
                <w:b w:val="0"/>
                <w:sz w:val="19"/>
              </w:rPr>
              <w:t>DETA Consultores</w:t>
            </w:r>
          </w:p>
        </w:tc>
      </w:tr>
    </w:tbl>
    <w:p>
      <w:r>
        <w:br w:type="page"/>
      </w:r>
    </w:p>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Control del documento</w:t>
      </w:r>
    </w:p>
    <w:p>
      <w:pPr>
        <w:spacing w:after="40"/>
      </w:pPr>
      <w:r>
        <w:rPr>
          <w:rFonts w:ascii="Calibri" w:hAnsi="Calibri"/>
          <w:color w:val="1C242E"/>
          <w:sz w:val="20"/>
        </w:rPr>
        <w:t>Historial de revisiones</w:t>
      </w:r>
    </w:p>
    <w:p>
      <w:pPr>
        <w:spacing w:after="40"/>
      </w:pPr>
      <w:r>
        <w:rPr>
          <w:rFonts w:ascii="Calibri" w:hAnsi="Calibri"/>
          <w:color w:val="1C242E"/>
          <w:sz w:val="20"/>
        </w:rPr>
        <w:t>1. Objetivo del puesto</w:t>
      </w:r>
    </w:p>
    <w:p>
      <w:pPr>
        <w:spacing w:after="40"/>
      </w:pPr>
      <w:r>
        <w:rPr>
          <w:rFonts w:ascii="Calibri" w:hAnsi="Calibri"/>
          <w:color w:val="1C242E"/>
          <w:sz w:val="20"/>
        </w:rPr>
        <w:t>2. Áreas de efectividad</w:t>
      </w:r>
    </w:p>
    <w:p>
      <w:pPr>
        <w:spacing w:after="40"/>
      </w:pPr>
      <w:r>
        <w:rPr>
          <w:rFonts w:ascii="Calibri" w:hAnsi="Calibri"/>
          <w:color w:val="1C242E"/>
          <w:sz w:val="20"/>
        </w:rPr>
        <w:t>3. Responsabilidades del SGC del puesto</w:t>
      </w:r>
    </w:p>
    <w:p>
      <w:pPr>
        <w:spacing w:after="40"/>
      </w:pPr>
      <w:r>
        <w:rPr>
          <w:rFonts w:ascii="Calibri" w:hAnsi="Calibri"/>
          <w:color w:val="1C242E"/>
          <w:sz w:val="20"/>
        </w:rPr>
        <w:t>4. Competencias</w:t>
      </w:r>
    </w:p>
    <w:p>
      <w:pPr>
        <w:spacing w:after="40"/>
      </w:pPr>
      <w:r>
        <w:rPr>
          <w:rFonts w:ascii="Calibri" w:hAnsi="Calibri"/>
          <w:color w:val="1C242E"/>
          <w:sz w:val="20"/>
        </w:rPr>
        <w:t>5. Requisitos del puesto</w:t>
      </w:r>
    </w:p>
    <w:p>
      <w:pPr>
        <w:spacing w:after="40"/>
      </w:pPr>
      <w:r>
        <w:rPr>
          <w:rFonts w:ascii="Calibri" w:hAnsi="Calibri"/>
          <w:color w:val="1C242E"/>
          <w:sz w:val="20"/>
        </w:rPr>
        <w:t>6. Indicadores del puesto (KPIs)</w:t>
      </w:r>
    </w:p>
    <w:p>
      <w:pPr>
        <w:spacing w:after="40"/>
      </w:pPr>
      <w:r>
        <w:rPr>
          <w:rFonts w:ascii="Calibri" w:hAnsi="Calibri"/>
          <w:color w:val="1C242E"/>
          <w:sz w:val="20"/>
        </w:rPr>
        <w:t>7. Relaciones y línea de reporte</w:t>
      </w:r>
    </w:p>
    <w:p>
      <w:pPr>
        <w:spacing w:after="40"/>
      </w:pPr>
      <w:r>
        <w:rPr>
          <w:rFonts w:ascii="Calibri" w:hAnsi="Calibri"/>
          <w:color w:val="1C242E"/>
          <w:sz w:val="20"/>
        </w:rPr>
        <w:t>Aprobación</w:t>
      </w:r>
    </w:p>
    <w:p>
      <w:r>
        <w:br w:type="page"/>
      </w:r>
    </w:p>
    <w:p>
      <w:pPr>
        <w:keepNext/>
        <w:spacing w:before="280" w:after="80"/>
        <w:pBdr>
          <w:bottom w:val="single" w:sz="8" w:color="F0E528"/>
        </w:pBdr>
      </w:pPr>
      <w:r>
        <w:rPr>
          <w:rFonts w:ascii="Georgia" w:hAnsi="Georgia"/>
          <w:b/>
          <w:color w:val="0056B4"/>
          <w:sz w:val="26"/>
        </w:rPr>
        <w:t>1. Objetivo del puesto</w:t>
      </w:r>
    </w:p>
    <w:p>
      <w:pPr>
        <w:spacing w:after="120"/>
      </w:pPr>
      <w:r>
        <w:rPr>
          <w:rFonts w:ascii="Calibri" w:hAnsi="Calibri"/>
          <w:color w:val="1C242E"/>
          <w:sz w:val="21"/>
        </w:rPr>
        <w:t>Coordinar la ejecución táctica en campo de los proyectos fotovoltaicos: plan de cuadrillas, logística en sitio, checklists de calidad y seguridad, evidencias diarias, pruebas y soporte al encendido y la interconexión, para entregar los frentes de obra sin retrabajos y conforme al programa.</w:t>
      </w:r>
    </w:p>
    <w:p>
      <w:pPr>
        <w:keepNext/>
        <w:spacing w:before="280" w:after="80"/>
        <w:pBdr>
          <w:bottom w:val="single" w:sz="8" w:color="F0E528"/>
        </w:pBdr>
      </w:pPr>
      <w:r>
        <w:rPr>
          <w:rFonts w:ascii="Georgia" w:hAnsi="Georgia"/>
          <w:b/>
          <w:color w:val="0056B4"/>
          <w:sz w:val="26"/>
        </w:rPr>
        <w:t>2. Áreas de efectividad</w:t>
      </w:r>
    </w:p>
    <w:p>
      <w:pPr>
        <w:spacing w:after="120"/>
      </w:pPr>
      <w:r>
        <w:rPr>
          <w:rFonts w:ascii="Calibri" w:hAnsi="Calibri"/>
          <w:color w:val="1C242E"/>
          <w:sz w:val="21"/>
        </w:rPr>
        <w:t>El puesto responde por seis áreas de efectividad. El perfil fuente no asigna un peso relativo a cada área, por lo que la ponderación queda pendiente de validación con la Dirección.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194"/>
            <w:shd w:val="clear" w:fill="0056B4"/>
          </w:tcPr>
          <w:p>
            <w:pPr>
              <w:jc w:val="center"/>
            </w:pPr>
            <w:r/>
            <w:r>
              <w:rPr>
                <w:rFonts w:ascii="Calibri" w:hAnsi="Calibri"/>
                <w:b/>
                <w:color w:val="FFFFFF"/>
                <w:sz w:val="17"/>
              </w:rPr>
              <w:t>Área de efectividad</w:t>
            </w:r>
          </w:p>
        </w:tc>
        <w:tc>
          <w:tcPr>
            <w:tcW w:type="dxa" w:w="1197"/>
            <w:shd w:val="clear" w:fill="0056B4"/>
          </w:tcPr>
          <w:p>
            <w:pPr>
              <w:jc w:val="center"/>
            </w:pPr>
            <w:r/>
            <w:r>
              <w:rPr>
                <w:rFonts w:ascii="Calibri" w:hAnsi="Calibri"/>
                <w:b/>
                <w:color w:val="FFFFFF"/>
                <w:sz w:val="17"/>
              </w:rPr>
              <w:t>Peso</w:t>
            </w:r>
          </w:p>
        </w:tc>
        <w:tc>
          <w:tcPr>
            <w:tcW w:type="dxa" w:w="6582"/>
            <w:shd w:val="clear" w:fill="0056B4"/>
          </w:tcPr>
          <w:p>
            <w:pPr>
              <w:jc w:val="center"/>
            </w:pPr>
            <w:r/>
            <w:r>
              <w:rPr>
                <w:rFonts w:ascii="Calibri" w:hAnsi="Calibri"/>
                <w:b/>
                <w:color w:val="FFFFFF"/>
                <w:sz w:val="17"/>
              </w:rPr>
              <w:t>Descripción, método de medición y entregables</w:t>
            </w:r>
          </w:p>
        </w:tc>
      </w:tr>
      <w:tr>
        <w:tc>
          <w:tcPr>
            <w:tcW w:type="dxa" w:w="2194"/>
          </w:tcPr>
          <w:p>
            <w:r/>
            <w:r>
              <w:rPr>
                <w:rFonts w:ascii="Calibri" w:hAnsi="Calibri"/>
                <w:b w:val="0"/>
                <w:sz w:val="19"/>
              </w:rPr>
              <w:t>Organización del trabajo y programación diaria</w:t>
            </w:r>
          </w:p>
        </w:tc>
        <w:tc>
          <w:tcPr>
            <w:tcW w:type="dxa" w:w="1197"/>
          </w:tcPr>
          <w:p>
            <w:r/>
            <w:r>
              <w:rPr>
                <w:rFonts w:ascii="Calibri" w:hAnsi="Calibri"/>
                <w:b w:val="0"/>
                <w:sz w:val="19"/>
              </w:rPr>
              <w:t>[Por validar]</w:t>
            </w:r>
          </w:p>
        </w:tc>
        <w:tc>
          <w:tcPr>
            <w:tcW w:type="dxa" w:w="6582"/>
          </w:tcPr>
          <w:p>
            <w:r/>
            <w:r>
              <w:rPr>
                <w:rFonts w:ascii="Calibri" w:hAnsi="Calibri"/>
                <w:b w:val="0"/>
                <w:sz w:val="19"/>
              </w:rPr>
              <w:t>Ejecutar el programa semanal por cuadrilla sin reprogramar sin aprobación del Gerente, confirmar cita y ventanas de acceso con cliente y Ventas, preparar las órdenes de trabajo por OV con alcances y riesgos, acompañar la capacitación del cliente impartida por Ingeniería sin sustituirla, y reportar inicio, fin y desvíos en tiempo real. Medición: cumplimiento de programa y puntualidad. Entregables: ruta por cuadrilla y reporte de avance.</w:t>
            </w:r>
          </w:p>
        </w:tc>
      </w:tr>
      <w:tr>
        <w:tc>
          <w:tcPr>
            <w:tcW w:type="dxa" w:w="2194"/>
          </w:tcPr>
          <w:p>
            <w:r/>
            <w:r>
              <w:rPr>
                <w:rFonts w:ascii="Calibri" w:hAnsi="Calibri"/>
                <w:b w:val="0"/>
                <w:sz w:val="19"/>
              </w:rPr>
              <w:t>Logística en sitio y abasto</w:t>
            </w:r>
          </w:p>
        </w:tc>
        <w:tc>
          <w:tcPr>
            <w:tcW w:type="dxa" w:w="1197"/>
          </w:tcPr>
          <w:p>
            <w:r/>
            <w:r>
              <w:rPr>
                <w:rFonts w:ascii="Calibri" w:hAnsi="Calibri"/>
                <w:b w:val="0"/>
                <w:sz w:val="19"/>
              </w:rPr>
              <w:t>[Por validar]</w:t>
            </w:r>
          </w:p>
        </w:tc>
        <w:tc>
          <w:tcPr>
            <w:tcW w:type="dxa" w:w="6582"/>
          </w:tcPr>
          <w:p>
            <w:r/>
            <w:r>
              <w:rPr>
                <w:rFonts w:ascii="Calibri" w:hAnsi="Calibri"/>
                <w:b w:val="0"/>
                <w:sz w:val="19"/>
              </w:rPr>
              <w:t>Verificar el kit completo por OV bajo el principio de todo con pedido, cotejar la entrega de Almacén contra requisición u OV y reportar faltantes, controlar herramienta, equipo y seguridad de transporte, y mantener orden y limpieza del frente. Medición: porcentaje de obras con kit completo y cero despachos sin pedido. Entregables: lista de embarque y control de entradas y salidas.</w:t>
            </w:r>
          </w:p>
        </w:tc>
      </w:tr>
      <w:tr>
        <w:tc>
          <w:tcPr>
            <w:tcW w:type="dxa" w:w="2194"/>
          </w:tcPr>
          <w:p>
            <w:r/>
            <w:r>
              <w:rPr>
                <w:rFonts w:ascii="Calibri" w:hAnsi="Calibri"/>
                <w:b w:val="0"/>
                <w:sz w:val="19"/>
              </w:rPr>
              <w:t>Tramitología operativa y CFE</w:t>
            </w:r>
          </w:p>
        </w:tc>
        <w:tc>
          <w:tcPr>
            <w:tcW w:type="dxa" w:w="1197"/>
          </w:tcPr>
          <w:p>
            <w:r/>
            <w:r>
              <w:rPr>
                <w:rFonts w:ascii="Calibri" w:hAnsi="Calibri"/>
                <w:b w:val="0"/>
                <w:sz w:val="19"/>
              </w:rPr>
              <w:t>[Por validar]</w:t>
            </w:r>
          </w:p>
        </w:tc>
        <w:tc>
          <w:tcPr>
            <w:tcW w:type="dxa" w:w="6582"/>
          </w:tcPr>
          <w:p>
            <w:r/>
            <w:r>
              <w:rPr>
                <w:rFonts w:ascii="Calibri" w:hAnsi="Calibri"/>
                <w:b w:val="0"/>
                <w:sz w:val="19"/>
              </w:rPr>
              <w:t>Cargar y verificar la integridad de la documentación CFE en Trello, coordinar en campo el cambio de medidor con CFE y cliente, coordinar el encendido con Ingeniería sin capacitar al cliente, no encender con saldo pendiente (informar y reprogramar con visto bueno del Gerente), y apoyar con UVIE/UI en evidencias y acceso. Medición: porcentaje de expedientes completos y tiempo de medidor. Entregables: carpeta Trello y citas CFE confirmadas.</w:t>
            </w:r>
          </w:p>
        </w:tc>
      </w:tr>
      <w:tr>
        <w:tc>
          <w:tcPr>
            <w:tcW w:type="dxa" w:w="2194"/>
          </w:tcPr>
          <w:p>
            <w:r/>
            <w:r>
              <w:rPr>
                <w:rFonts w:ascii="Calibri" w:hAnsi="Calibri"/>
                <w:b w:val="0"/>
                <w:sz w:val="19"/>
              </w:rPr>
              <w:t>Ejecución en campo y seguridad</w:t>
            </w:r>
          </w:p>
        </w:tc>
        <w:tc>
          <w:tcPr>
            <w:tcW w:type="dxa" w:w="1197"/>
          </w:tcPr>
          <w:p>
            <w:r/>
            <w:r>
              <w:rPr>
                <w:rFonts w:ascii="Calibri" w:hAnsi="Calibri"/>
                <w:b w:val="0"/>
                <w:sz w:val="19"/>
              </w:rPr>
              <w:t>[Por validar]</w:t>
            </w:r>
          </w:p>
        </w:tc>
        <w:tc>
          <w:tcPr>
            <w:tcW w:type="dxa" w:w="6582"/>
          </w:tcPr>
          <w:p>
            <w:r/>
            <w:r>
              <w:rPr>
                <w:rFonts w:ascii="Calibri" w:hAnsi="Calibri"/>
                <w:b w:val="0"/>
                <w:sz w:val="19"/>
              </w:rPr>
              <w:t>Dirigir el montaje conforme a las especificaciones de Ingeniería, implementar los controles HSE (energía, altura, EPP) y los briefings, validar las pruebas previas al encendido, y registrar avances e impedimentos solicitando soporte a Ingeniería cuando afecte el diseño. Medición: cumplimiento técnico y HSE con retrabajos mínimos. Entregables: checklist HSE y punch list.</w:t>
            </w:r>
          </w:p>
        </w:tc>
      </w:tr>
      <w:tr>
        <w:tc>
          <w:tcPr>
            <w:tcW w:type="dxa" w:w="2194"/>
          </w:tcPr>
          <w:p>
            <w:r/>
            <w:r>
              <w:rPr>
                <w:rFonts w:ascii="Calibri" w:hAnsi="Calibri"/>
                <w:b w:val="0"/>
                <w:sz w:val="19"/>
              </w:rPr>
              <w:t>Evidencias y cierre</w:t>
            </w:r>
          </w:p>
        </w:tc>
        <w:tc>
          <w:tcPr>
            <w:tcW w:type="dxa" w:w="1197"/>
          </w:tcPr>
          <w:p>
            <w:r/>
            <w:r>
              <w:rPr>
                <w:rFonts w:ascii="Calibri" w:hAnsi="Calibri"/>
                <w:b w:val="0"/>
                <w:sz w:val="19"/>
              </w:rPr>
              <w:t>[Por validar]</w:t>
            </w:r>
          </w:p>
        </w:tc>
        <w:tc>
          <w:tcPr>
            <w:tcW w:type="dxa" w:w="6582"/>
          </w:tcPr>
          <w:p>
            <w:r/>
            <w:r>
              <w:rPr>
                <w:rFonts w:ascii="Calibri" w:hAnsi="Calibri"/>
                <w:b w:val="0"/>
                <w:sz w:val="19"/>
              </w:rPr>
              <w:t>Cargar el mismo día las evidencias y el checklist en Trello, elaborar el parte de cierre por OV y entregar la carpeta ordenada, coordinar con Administración el cierre de cobranza por checklist, entregar pólizas y documentación al cliente según la obra, dejar el sitio limpio y seguro, y verificar la satisfacción del cliente al término del frente. Medición: porcentaje de evidencias y checklist del día, cierre por checklist. Entregables: evidencias en Trello y reporte de cierre.</w:t>
            </w:r>
          </w:p>
        </w:tc>
      </w:tr>
      <w:tr>
        <w:tc>
          <w:tcPr>
            <w:tcW w:type="dxa" w:w="2194"/>
          </w:tcPr>
          <w:p>
            <w:r/>
            <w:r>
              <w:rPr>
                <w:rFonts w:ascii="Calibri" w:hAnsi="Calibri"/>
                <w:b w:val="0"/>
                <w:sz w:val="19"/>
              </w:rPr>
              <w:t>Postventa operativo</w:t>
            </w:r>
          </w:p>
        </w:tc>
        <w:tc>
          <w:tcPr>
            <w:tcW w:type="dxa" w:w="1197"/>
          </w:tcPr>
          <w:p>
            <w:r/>
            <w:r>
              <w:rPr>
                <w:rFonts w:ascii="Calibri" w:hAnsi="Calibri"/>
                <w:b w:val="0"/>
                <w:sz w:val="19"/>
              </w:rPr>
              <w:t>[Por validar]</w:t>
            </w:r>
          </w:p>
        </w:tc>
        <w:tc>
          <w:tcPr>
            <w:tcW w:type="dxa" w:w="6582"/>
          </w:tcPr>
          <w:p>
            <w:r/>
            <w:r>
              <w:rPr>
                <w:rFonts w:ascii="Calibri" w:hAnsi="Calibri"/>
                <w:b w:val="0"/>
                <w:sz w:val="19"/>
              </w:rPr>
              <w:t>El perfil fuente lista esta área sin funciones, método de medición ni entregables en la tabla estratégica. [Por validar] con la Dirección el alcance operativo de la postventa a cargo del puesto (por ejemplo, dar soporte operativo a las visitas posteriores del frente entregado).</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[Pesos por validar] Asignar con la Dirección el peso porcentual de cada área de efectividad (la suma debe cerrar en 100%). El perfil fuente no los especifica.</w:t>
            </w:r>
          </w:p>
        </w:tc>
      </w:tr>
    </w:tbl>
    <w:p>
      <w:pPr>
        <w:spacing w:after="40"/>
      </w:pPr>
    </w:p>
    <w:p>
      <w:pPr>
        <w:keepNext/>
        <w:spacing w:before="280" w:after="80"/>
        <w:pBdr>
          <w:bottom w:val="single" w:sz="8" w:color="F0E528"/>
        </w:pBdr>
      </w:pPr>
      <w:r>
        <w:rPr>
          <w:rFonts w:ascii="Georgia" w:hAnsi="Georgia"/>
          <w:b/>
          <w:color w:val="0056B4"/>
          <w:sz w:val="26"/>
        </w:rPr>
        <w:t>3. Responsabilidades del SGC del puesto</w:t>
      </w:r>
    </w:p>
    <w:p>
      <w:pPr>
        <w:spacing w:after="120"/>
      </w:pPr>
      <w:r>
        <w:rPr>
          <w:rFonts w:ascii="Calibri" w:hAnsi="Calibri"/>
          <w:color w:val="1C242E"/>
          <w:sz w:val="21"/>
        </w:rPr>
        <w:t>Además de sus funciones operativas, el puesto asume las responsabilidades del Sistema de Gestión de Calidad asociadas al proceso de operación e instalación en campo (ISO 9001:2015, cláusula 7.2).</w:t>
      </w:r>
    </w:p>
    <w:p>
      <w:pPr>
        <w:pStyle w:val="ListBullet"/>
      </w:pPr>
      <w:r>
        <w:rPr>
          <w:rFonts w:ascii="Calibri" w:hAnsi="Calibri"/>
          <w:sz w:val="20"/>
        </w:rPr>
        <w:t>Seguir los procedimientos aplicables del proceso de operación e instalación y los documentos del SGC vigentes en cada frente de obra.</w:t>
      </w:r>
    </w:p>
    <w:p>
      <w:pPr>
        <w:pStyle w:val="ListBullet"/>
      </w:pPr>
      <w:r>
        <w:rPr>
          <w:rFonts w:ascii="Calibri" w:hAnsi="Calibri"/>
          <w:sz w:val="20"/>
        </w:rPr>
        <w:t>Asegurar la ejecución en obra conforme a las especificaciones de Ingeniería y entregar cada frente sin retrabajos y conforme al programa.</w:t>
      </w:r>
    </w:p>
    <w:p>
      <w:pPr>
        <w:pStyle w:val="ListBullet"/>
      </w:pPr>
      <w:r>
        <w:rPr>
          <w:rFonts w:ascii="Calibri" w:hAnsi="Calibri"/>
          <w:sz w:val="20"/>
        </w:rPr>
        <w:t>Controlar la seguridad en obra: aplicar los controles HSE (energía, altura, EPP) y los briefings, y verificar la salida conforme antes de cerrar cada frente.</w:t>
      </w:r>
    </w:p>
    <w:p>
      <w:pPr>
        <w:pStyle w:val="ListBullet"/>
      </w:pPr>
      <w:r>
        <w:rPr>
          <w:rFonts w:ascii="Calibri" w:hAnsi="Calibri"/>
          <w:sz w:val="20"/>
        </w:rPr>
        <w:t>Generar y resguardar los registros y formatos de su área (órdenes de trabajo por OV, checklist HSE, punch list, parte de cierre y evidencias), con la carga en Trello el mismo día.</w:t>
      </w:r>
    </w:p>
    <w:p>
      <w:pPr>
        <w:pStyle w:val="ListBullet"/>
      </w:pPr>
      <w:r>
        <w:rPr>
          <w:rFonts w:ascii="Calibri" w:hAnsi="Calibri"/>
          <w:sz w:val="20"/>
        </w:rPr>
        <w:t>Verificar la integridad de los expedientes CFE y mantener la trazabilidad de la documentación de interconexión en Trello como fuente única de evidencia.</w:t>
      </w:r>
    </w:p>
    <w:p>
      <w:pPr>
        <w:pStyle w:val="ListBullet"/>
      </w:pPr>
      <w:r>
        <w:rPr>
          <w:rFonts w:ascii="Calibri" w:hAnsi="Calibri"/>
          <w:sz w:val="20"/>
        </w:rPr>
        <w:t>No autorizar el encendido con saldo pendiente: informar y reprogramar con visto bueno del Gerente, para ligar la conformidad de la entrega con el cierre de cobranza.</w:t>
      </w:r>
    </w:p>
    <w:p>
      <w:pPr>
        <w:pStyle w:val="ListBullet"/>
      </w:pPr>
      <w:r>
        <w:rPr>
          <w:rFonts w:ascii="Calibri" w:hAnsi="Calibri"/>
          <w:sz w:val="20"/>
        </w:rPr>
        <w:t>Reportar y atender las no conformidades, los faltantes de material y los impedimentos técnicos detectados en sitio, y escalar a la Gerencia o a Ingeniería cuando corresponda.</w:t>
      </w:r>
    </w:p>
    <w:p>
      <w:pPr>
        <w:pStyle w:val="ListBullet"/>
      </w:pPr>
      <w:r>
        <w:rPr>
          <w:rFonts w:ascii="Calibri" w:hAnsi="Calibri"/>
          <w:sz w:val="20"/>
        </w:rPr>
        <w:t>Aplicar el control de cambios del proceso: no reprogramar por cuenta propia (toda reprogramación requiere aprobación del Gerente) ni sustituir materiales sin VoBo de Ingeniería.</w:t>
      </w:r>
    </w:p>
    <w:p>
      <w:pPr>
        <w:pStyle w:val="ListBullet"/>
      </w:pPr>
      <w:r>
        <w:rPr>
          <w:rFonts w:ascii="Calibri" w:hAnsi="Calibri"/>
          <w:sz w:val="20"/>
        </w:rPr>
        <w:t>Cumplir la política de calidad y contribuir al logro de los objetivos de calidad del proceso de operación e instalación.</w:t>
      </w:r>
    </w:p>
    <w:p>
      <w:pPr>
        <w:pStyle w:val="ListBullet"/>
      </w:pPr>
      <w:r>
        <w:rPr>
          <w:rFonts w:ascii="Calibri" w:hAnsi="Calibri"/>
          <w:sz w:val="20"/>
        </w:rPr>
        <w:t>Participar en las auditorías internas y externas del SGC y en las acciones de mejora de su área.</w:t>
      </w:r>
    </w:p>
    <w:p>
      <w:pPr>
        <w:pStyle w:val="ListBullet"/>
      </w:pPr>
      <w:r>
        <w:rPr>
          <w:rFonts w:ascii="Calibri" w:hAnsi="Calibri"/>
          <w:sz w:val="20"/>
        </w:rPr>
        <w:t>Verificar la satisfacción del cliente al cierre de cada obra y canalizar las quejas por el proceso establecido.</w:t>
      </w:r>
    </w:p>
    <w:p>
      <w:pPr>
        <w:keepNext/>
        <w:spacing w:before="280" w:after="80"/>
        <w:pBdr>
          <w:bottom w:val="single" w:sz="8" w:color="F0E528"/>
        </w:pBdr>
      </w:pPr>
      <w:r>
        <w:rPr>
          <w:rFonts w:ascii="Georgia" w:hAnsi="Georgia"/>
          <w:b/>
          <w:color w:val="0056B4"/>
          <w:sz w:val="26"/>
        </w:rPr>
        <w:t>4. Competencias</w:t>
      </w:r>
    </w:p>
    <w:p>
      <w:pPr>
        <w:keepNext/>
        <w:spacing w:before="200" w:after="60"/>
      </w:pPr>
      <w:r>
        <w:rPr>
          <w:rFonts w:ascii="Georgia" w:hAnsi="Georgia"/>
          <w:b/>
          <w:color w:val="1C242E"/>
          <w:sz w:val="22"/>
        </w:rPr>
        <w:t>Competencias técnicas</w:t>
      </w:r>
    </w:p>
    <w:p>
      <w:pPr>
        <w:spacing w:after="120"/>
      </w:pPr>
      <w:r>
        <w:rPr>
          <w:rFonts w:ascii="Calibri" w:hAnsi="Calibri"/>
          <w:color w:val="1C242E"/>
          <w:sz w:val="21"/>
        </w:rPr>
        <w:t>Derivadas de los conocimientos requeridos por área en el perfil fuente. El perfil fuente lista los conocimientos por área sin asignar un nivel de dominio, por lo que el nivel requerido de cada competencia queda por validar con la Dirección.</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7180"/>
            <w:shd w:val="clear" w:fill="0056B4"/>
          </w:tcPr>
          <w:p>
            <w:pPr>
              <w:jc w:val="center"/>
            </w:pPr>
            <w:r/>
            <w:r>
              <w:rPr>
                <w:rFonts w:ascii="Calibri" w:hAnsi="Calibri"/>
                <w:b/>
                <w:color w:val="FFFFFF"/>
                <w:sz w:val="17"/>
              </w:rPr>
              <w:t>Competencia técnica</w:t>
            </w:r>
          </w:p>
        </w:tc>
        <w:tc>
          <w:tcPr>
            <w:tcW w:type="dxa" w:w="2792"/>
            <w:shd w:val="clear" w:fill="0056B4"/>
          </w:tcPr>
          <w:p>
            <w:pPr>
              <w:jc w:val="center"/>
            </w:pPr>
            <w:r/>
            <w:r>
              <w:rPr>
                <w:rFonts w:ascii="Calibri" w:hAnsi="Calibri"/>
                <w:b/>
                <w:color w:val="FFFFFF"/>
                <w:sz w:val="17"/>
              </w:rPr>
              <w:t>Nivel requerido</w:t>
            </w:r>
          </w:p>
        </w:tc>
      </w:tr>
      <w:tr>
        <w:tc>
          <w:tcPr>
            <w:tcW w:type="dxa" w:w="7180"/>
          </w:tcPr>
          <w:p>
            <w:r/>
            <w:r>
              <w:rPr>
                <w:rFonts w:ascii="Calibri" w:hAnsi="Calibri"/>
                <w:b w:val="0"/>
                <w:sz w:val="19"/>
              </w:rPr>
              <w:t>Organización del trabajo, cronogramas y bitácoras</w:t>
            </w:r>
          </w:p>
        </w:tc>
        <w:tc>
          <w:tcPr>
            <w:tcW w:type="dxa" w:w="2792"/>
          </w:tcPr>
          <w:p>
            <w:r/>
            <w:r>
              <w:rPr>
                <w:rFonts w:ascii="Calibri" w:hAnsi="Calibri"/>
                <w:b w:val="0"/>
                <w:sz w:val="19"/>
              </w:rPr>
              <w:t>[Por validar]</w:t>
            </w:r>
          </w:p>
        </w:tc>
      </w:tr>
      <w:tr>
        <w:tc>
          <w:tcPr>
            <w:tcW w:type="dxa" w:w="7180"/>
          </w:tcPr>
          <w:p>
            <w:r/>
            <w:r>
              <w:rPr>
                <w:rFonts w:ascii="Calibri" w:hAnsi="Calibri"/>
                <w:b w:val="0"/>
                <w:sz w:val="19"/>
              </w:rPr>
              <w:t>Logística de obra e inventarios operativos</w:t>
            </w:r>
          </w:p>
        </w:tc>
        <w:tc>
          <w:tcPr>
            <w:tcW w:type="dxa" w:w="2792"/>
          </w:tcPr>
          <w:p>
            <w:r/>
            <w:r>
              <w:rPr>
                <w:rFonts w:ascii="Calibri" w:hAnsi="Calibri"/>
                <w:b w:val="0"/>
                <w:sz w:val="19"/>
              </w:rPr>
              <w:t>[Por validar]</w:t>
            </w:r>
          </w:p>
        </w:tc>
      </w:tr>
      <w:tr>
        <w:tc>
          <w:tcPr>
            <w:tcW w:type="dxa" w:w="7180"/>
          </w:tcPr>
          <w:p>
            <w:r/>
            <w:r>
              <w:rPr>
                <w:rFonts w:ascii="Calibri" w:hAnsi="Calibri"/>
                <w:b w:val="0"/>
                <w:sz w:val="19"/>
              </w:rPr>
              <w:t>Manejo de materiales FV (módulos, inversores, protecciones)</w:t>
            </w:r>
          </w:p>
        </w:tc>
        <w:tc>
          <w:tcPr>
            <w:tcW w:type="dxa" w:w="2792"/>
          </w:tcPr>
          <w:p>
            <w:r/>
            <w:r>
              <w:rPr>
                <w:rFonts w:ascii="Calibri" w:hAnsi="Calibri"/>
                <w:b w:val="0"/>
                <w:sz w:val="19"/>
              </w:rPr>
              <w:t>[Por validar]</w:t>
            </w:r>
          </w:p>
        </w:tc>
      </w:tr>
      <w:tr>
        <w:tc>
          <w:tcPr>
            <w:tcW w:type="dxa" w:w="7180"/>
          </w:tcPr>
          <w:p>
            <w:r/>
            <w:r>
              <w:rPr>
                <w:rFonts w:ascii="Calibri" w:hAnsi="Calibri"/>
                <w:b w:val="0"/>
                <w:sz w:val="19"/>
              </w:rPr>
              <w:t>Instalación FV y pruebas eléctricas</w:t>
            </w:r>
          </w:p>
        </w:tc>
        <w:tc>
          <w:tcPr>
            <w:tcW w:type="dxa" w:w="2792"/>
          </w:tcPr>
          <w:p>
            <w:r/>
            <w:r>
              <w:rPr>
                <w:rFonts w:ascii="Calibri" w:hAnsi="Calibri"/>
                <w:b w:val="0"/>
                <w:sz w:val="19"/>
              </w:rPr>
              <w:t>[Por validar]</w:t>
            </w:r>
          </w:p>
        </w:tc>
      </w:tr>
      <w:tr>
        <w:tc>
          <w:tcPr>
            <w:tcW w:type="dxa" w:w="7180"/>
          </w:tcPr>
          <w:p>
            <w:r/>
            <w:r>
              <w:rPr>
                <w:rFonts w:ascii="Calibri" w:hAnsi="Calibri"/>
                <w:b w:val="0"/>
                <w:sz w:val="19"/>
              </w:rPr>
              <w:t>Seguridad eléctrica y trabajo en altura</w:t>
            </w:r>
          </w:p>
        </w:tc>
        <w:tc>
          <w:tcPr>
            <w:tcW w:type="dxa" w:w="2792"/>
          </w:tcPr>
          <w:p>
            <w:r/>
            <w:r>
              <w:rPr>
                <w:rFonts w:ascii="Calibri" w:hAnsi="Calibri"/>
                <w:b w:val="0"/>
                <w:sz w:val="19"/>
              </w:rPr>
              <w:t>[Por validar]</w:t>
            </w:r>
          </w:p>
        </w:tc>
      </w:tr>
      <w:tr>
        <w:tc>
          <w:tcPr>
            <w:tcW w:type="dxa" w:w="7180"/>
          </w:tcPr>
          <w:p>
            <w:r/>
            <w:r>
              <w:rPr>
                <w:rFonts w:ascii="Calibri" w:hAnsi="Calibri"/>
                <w:b w:val="0"/>
                <w:sz w:val="19"/>
              </w:rPr>
              <w:t>Interconexión CFE, citas, portales y requisitos UVIE/UI</w:t>
            </w:r>
          </w:p>
        </w:tc>
        <w:tc>
          <w:tcPr>
            <w:tcW w:type="dxa" w:w="2792"/>
          </w:tcPr>
          <w:p>
            <w:r/>
            <w:r>
              <w:rPr>
                <w:rFonts w:ascii="Calibri" w:hAnsi="Calibri"/>
                <w:b w:val="0"/>
                <w:sz w:val="19"/>
              </w:rPr>
              <w:t>[Por validar]</w:t>
            </w:r>
          </w:p>
        </w:tc>
      </w:tr>
      <w:tr>
        <w:tc>
          <w:tcPr>
            <w:tcW w:type="dxa" w:w="7180"/>
          </w:tcPr>
          <w:p>
            <w:r/>
            <w:r>
              <w:rPr>
                <w:rFonts w:ascii="Calibri" w:hAnsi="Calibri"/>
                <w:b w:val="0"/>
                <w:sz w:val="19"/>
              </w:rPr>
              <w:t>Trello/ERP y lectura básica de planos</w:t>
            </w:r>
          </w:p>
        </w:tc>
        <w:tc>
          <w:tcPr>
            <w:tcW w:type="dxa" w:w="2792"/>
          </w:tcPr>
          <w:p>
            <w:r/>
            <w:r>
              <w:rPr>
                <w:rFonts w:ascii="Calibri" w:hAnsi="Calibri"/>
                <w:b w:val="0"/>
                <w:sz w:val="19"/>
              </w:rPr>
              <w:t>[Por validar]</w:t>
            </w:r>
          </w:p>
        </w:tc>
      </w:tr>
      <w:tr>
        <w:tc>
          <w:tcPr>
            <w:tcW w:type="dxa" w:w="7180"/>
          </w:tcPr>
          <w:p>
            <w:r/>
            <w:r>
              <w:rPr>
                <w:rFonts w:ascii="Calibri" w:hAnsi="Calibri"/>
                <w:b w:val="0"/>
                <w:sz w:val="19"/>
              </w:rPr>
              <w:t>Gestión documental y trazabilidad</w:t>
            </w:r>
          </w:p>
        </w:tc>
        <w:tc>
          <w:tcPr>
            <w:tcW w:type="dxa" w:w="2792"/>
          </w:tcPr>
          <w:p>
            <w:r/>
            <w:r>
              <w:rPr>
                <w:rFonts w:ascii="Calibri" w:hAnsi="Calibri"/>
                <w:b w:val="0"/>
                <w:sz w:val="19"/>
              </w:rPr>
              <w:t>[Por validar]</w:t>
            </w:r>
          </w:p>
        </w:tc>
      </w:tr>
    </w:tbl>
    <w:p>
      <w:pPr>
        <w:keepNext/>
        <w:spacing w:before="200" w:after="60"/>
      </w:pPr>
      <w:r>
        <w:rPr>
          <w:rFonts w:ascii="Georgia" w:hAnsi="Georgia"/>
          <w:b/>
          <w:color w:val="1C242E"/>
          <w:sz w:val="22"/>
        </w:rPr>
        <w:t>Competencias blandas</w:t>
      </w:r>
    </w:p>
    <w:p>
      <w:pPr>
        <w:spacing w:after="120"/>
      </w:pPr>
      <w:r>
        <w:rPr>
          <w:rFonts w:ascii="Calibri" w:hAnsi="Calibri"/>
          <w:color w:val="1C242E"/>
          <w:sz w:val="21"/>
        </w:rPr>
        <w:t>Competencias del catálogo canónico reproducidas del perfil fuente con su definición operativa.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3390"/>
            <w:shd w:val="clear" w:fill="0056B4"/>
          </w:tcPr>
          <w:p>
            <w:pPr>
              <w:jc w:val="center"/>
            </w:pPr>
            <w:r/>
            <w:r>
              <w:rPr>
                <w:rFonts w:ascii="Calibri" w:hAnsi="Calibri"/>
                <w:b/>
                <w:color w:val="FFFFFF"/>
                <w:sz w:val="17"/>
              </w:rPr>
              <w:t>Competencia blanda</w:t>
            </w:r>
          </w:p>
        </w:tc>
        <w:tc>
          <w:tcPr>
            <w:tcW w:type="dxa" w:w="6582"/>
            <w:shd w:val="clear" w:fill="0056B4"/>
          </w:tcPr>
          <w:p>
            <w:pPr>
              <w:jc w:val="center"/>
            </w:pPr>
            <w:r/>
            <w:r>
              <w:rPr>
                <w:rFonts w:ascii="Calibri" w:hAnsi="Calibri"/>
                <w:b/>
                <w:color w:val="FFFFFF"/>
                <w:sz w:val="17"/>
              </w:rPr>
              <w:t>Definición</w:t>
            </w:r>
          </w:p>
        </w:tc>
      </w:tr>
      <w:tr>
        <w:tc>
          <w:tcPr>
            <w:tcW w:type="dxa" w:w="3390"/>
          </w:tcPr>
          <w:p>
            <w:r/>
            <w:r>
              <w:rPr>
                <w:rFonts w:ascii="Calibri" w:hAnsi="Calibri"/>
                <w:b w:val="0"/>
                <w:sz w:val="19"/>
              </w:rPr>
              <w:t>Organización del trabajo</w:t>
            </w:r>
          </w:p>
        </w:tc>
        <w:tc>
          <w:tcPr>
            <w:tcW w:type="dxa" w:w="6582"/>
          </w:tcPr>
          <w:p>
            <w:r/>
            <w:r>
              <w:rPr>
                <w:rFonts w:ascii="Calibri" w:hAnsi="Calibri"/>
                <w:b w:val="0"/>
                <w:sz w:val="19"/>
              </w:rPr>
              <w:t>Organiza y esquematiza la información en formatos y procesos.</w:t>
            </w:r>
          </w:p>
        </w:tc>
      </w:tr>
      <w:tr>
        <w:tc>
          <w:tcPr>
            <w:tcW w:type="dxa" w:w="3390"/>
          </w:tcPr>
          <w:p>
            <w:r/>
            <w:r>
              <w:rPr>
                <w:rFonts w:ascii="Calibri" w:hAnsi="Calibri"/>
                <w:b w:val="0"/>
                <w:sz w:val="19"/>
              </w:rPr>
              <w:t>Orientación a la calidad</w:t>
            </w:r>
          </w:p>
        </w:tc>
        <w:tc>
          <w:tcPr>
            <w:tcW w:type="dxa" w:w="6582"/>
          </w:tcPr>
          <w:p>
            <w:r/>
            <w:r>
              <w:rPr>
                <w:rFonts w:ascii="Calibri" w:hAnsi="Calibri"/>
                <w:b w:val="0"/>
                <w:sz w:val="19"/>
              </w:rPr>
              <w:t>Asegura el apego a los estándares de calidad.</w:t>
            </w:r>
          </w:p>
        </w:tc>
      </w:tr>
      <w:tr>
        <w:tc>
          <w:tcPr>
            <w:tcW w:type="dxa" w:w="3390"/>
          </w:tcPr>
          <w:p>
            <w:r/>
            <w:r>
              <w:rPr>
                <w:rFonts w:ascii="Calibri" w:hAnsi="Calibri"/>
                <w:b w:val="0"/>
                <w:sz w:val="19"/>
              </w:rPr>
              <w:t>Cumplimiento de normas</w:t>
            </w:r>
          </w:p>
        </w:tc>
        <w:tc>
          <w:tcPr>
            <w:tcW w:type="dxa" w:w="6582"/>
          </w:tcPr>
          <w:p>
            <w:r/>
            <w:r>
              <w:rPr>
                <w:rFonts w:ascii="Calibri" w:hAnsi="Calibri"/>
                <w:b w:val="0"/>
                <w:sz w:val="19"/>
              </w:rPr>
              <w:t>Aplica las normas de la organización con disciplina.</w:t>
            </w:r>
          </w:p>
        </w:tc>
      </w:tr>
      <w:tr>
        <w:tc>
          <w:tcPr>
            <w:tcW w:type="dxa" w:w="3390"/>
          </w:tcPr>
          <w:p>
            <w:r/>
            <w:r>
              <w:rPr>
                <w:rFonts w:ascii="Calibri" w:hAnsi="Calibri"/>
                <w:b w:val="0"/>
                <w:sz w:val="19"/>
              </w:rPr>
              <w:t>Trabajo en equipo</w:t>
            </w:r>
          </w:p>
        </w:tc>
        <w:tc>
          <w:tcPr>
            <w:tcW w:type="dxa" w:w="6582"/>
          </w:tcPr>
          <w:p>
            <w:r/>
            <w:r>
              <w:rPr>
                <w:rFonts w:ascii="Calibri" w:hAnsi="Calibri"/>
                <w:b w:val="0"/>
                <w:sz w:val="19"/>
              </w:rPr>
              <w:t>Colabora de forma eficiente con otras áreas.</w:t>
            </w:r>
          </w:p>
        </w:tc>
      </w:tr>
      <w:tr>
        <w:tc>
          <w:tcPr>
            <w:tcW w:type="dxa" w:w="3390"/>
          </w:tcPr>
          <w:p>
            <w:r/>
            <w:r>
              <w:rPr>
                <w:rFonts w:ascii="Calibri" w:hAnsi="Calibri"/>
                <w:b w:val="0"/>
                <w:sz w:val="19"/>
              </w:rPr>
              <w:t>Ejecutividad</w:t>
            </w:r>
          </w:p>
        </w:tc>
        <w:tc>
          <w:tcPr>
            <w:tcW w:type="dxa" w:w="6582"/>
          </w:tcPr>
          <w:p>
            <w:r/>
            <w:r>
              <w:rPr>
                <w:rFonts w:ascii="Calibri" w:hAnsi="Calibri"/>
                <w:b w:val="0"/>
                <w:sz w:val="19"/>
              </w:rPr>
              <w:t>Ejecuta las directrices conforme a las políticas.</w:t>
            </w:r>
          </w:p>
        </w:tc>
      </w:tr>
      <w:tr>
        <w:tc>
          <w:tcPr>
            <w:tcW w:type="dxa" w:w="3390"/>
          </w:tcPr>
          <w:p>
            <w:r/>
            <w:r>
              <w:rPr>
                <w:rFonts w:ascii="Calibri" w:hAnsi="Calibri"/>
                <w:b w:val="0"/>
                <w:sz w:val="19"/>
              </w:rPr>
              <w:t>Gestión de la trazabilidad</w:t>
            </w:r>
          </w:p>
        </w:tc>
        <w:tc>
          <w:tcPr>
            <w:tcW w:type="dxa" w:w="6582"/>
          </w:tcPr>
          <w:p>
            <w:r/>
            <w:r>
              <w:rPr>
                <w:rFonts w:ascii="Calibri" w:hAnsi="Calibri"/>
                <w:b w:val="0"/>
                <w:sz w:val="19"/>
              </w:rPr>
              <w:t>Mantiene registros auditables del proceso.</w:t>
            </w:r>
          </w:p>
        </w:tc>
      </w:tr>
    </w:tbl>
    <w:p>
      <w:pPr>
        <w:keepNext/>
        <w:spacing w:before="280" w:after="80"/>
        <w:pBdr>
          <w:bottom w:val="single" w:sz="8" w:color="F0E528"/>
        </w:pBdr>
      </w:pPr>
      <w:r>
        <w:rPr>
          <w:rFonts w:ascii="Georgia" w:hAnsi="Georgia"/>
          <w:b/>
          <w:color w:val="0056B4"/>
          <w:sz w:val="26"/>
        </w:rPr>
        <w:t>5. Requisitos del puesto</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393"/>
            <w:shd w:val="clear" w:fill="0056B4"/>
          </w:tcPr>
          <w:p>
            <w:pPr>
              <w:jc w:val="center"/>
            </w:pPr>
            <w:r/>
            <w:r>
              <w:rPr>
                <w:rFonts w:ascii="Calibri" w:hAnsi="Calibri"/>
                <w:b/>
                <w:color w:val="FFFFFF"/>
                <w:sz w:val="17"/>
              </w:rPr>
              <w:t>Requisito</w:t>
            </w:r>
          </w:p>
        </w:tc>
        <w:tc>
          <w:tcPr>
            <w:tcW w:type="dxa" w:w="7579"/>
            <w:shd w:val="clear" w:fill="0056B4"/>
          </w:tcPr>
          <w:p>
            <w:pPr>
              <w:jc w:val="center"/>
            </w:pPr>
            <w:r/>
            <w:r>
              <w:rPr>
                <w:rFonts w:ascii="Calibri" w:hAnsi="Calibri"/>
                <w:b/>
                <w:color w:val="FFFFFF"/>
                <w:sz w:val="17"/>
              </w:rPr>
              <w:t>Detalle</w:t>
            </w:r>
          </w:p>
        </w:tc>
      </w:tr>
      <w:tr>
        <w:tc>
          <w:tcPr>
            <w:tcW w:type="dxa" w:w="2393"/>
          </w:tcPr>
          <w:p>
            <w:r/>
            <w:r>
              <w:rPr>
                <w:rFonts w:ascii="Calibri" w:hAnsi="Calibri"/>
                <w:b w:val="0"/>
                <w:sz w:val="19"/>
              </w:rPr>
              <w:t>Formación</w:t>
            </w:r>
          </w:p>
        </w:tc>
        <w:tc>
          <w:tcPr>
            <w:tcW w:type="dxa" w:w="7579"/>
          </w:tcPr>
          <w:p>
            <w:r/>
            <w:r>
              <w:rPr>
                <w:rFonts w:ascii="Calibri" w:hAnsi="Calibri"/>
                <w:b w:val="0"/>
                <w:sz w:val="19"/>
              </w:rPr>
              <w:t>[Por validar con la Dirección]. El perfil fuente no especifica escolaridad. Por la naturaleza del puesto procede validar formación técnica en instalaciones eléctricas, energías renovables o afín.</w:t>
            </w:r>
          </w:p>
        </w:tc>
      </w:tr>
      <w:tr>
        <w:tc>
          <w:tcPr>
            <w:tcW w:type="dxa" w:w="2393"/>
          </w:tcPr>
          <w:p>
            <w:r/>
            <w:r>
              <w:rPr>
                <w:rFonts w:ascii="Calibri" w:hAnsi="Calibri"/>
                <w:b w:val="0"/>
                <w:sz w:val="19"/>
              </w:rPr>
              <w:t>Experiencia</w:t>
            </w:r>
          </w:p>
        </w:tc>
        <w:tc>
          <w:tcPr>
            <w:tcW w:type="dxa" w:w="7579"/>
          </w:tcPr>
          <w:p>
            <w:r/>
            <w:r>
              <w:rPr>
                <w:rFonts w:ascii="Calibri" w:hAnsi="Calibri"/>
                <w:b w:val="0"/>
                <w:sz w:val="19"/>
              </w:rPr>
              <w:t>[Por validar con la Dirección]. El perfil fuente no especifica años. Procede validar experiencia en coordinación de cuadrillas de instalación fotovoltaica u obra eléctrica en campo.</w:t>
            </w:r>
          </w:p>
        </w:tc>
      </w:tr>
      <w:tr>
        <w:tc>
          <w:tcPr>
            <w:tcW w:type="dxa" w:w="2393"/>
          </w:tcPr>
          <w:p>
            <w:r/>
            <w:r>
              <w:rPr>
                <w:rFonts w:ascii="Calibri" w:hAnsi="Calibri"/>
                <w:b w:val="0"/>
                <w:sz w:val="19"/>
              </w:rPr>
              <w:t>Conocimientos técnicos</w:t>
            </w:r>
          </w:p>
        </w:tc>
        <w:tc>
          <w:tcPr>
            <w:tcW w:type="dxa" w:w="7579"/>
          </w:tcPr>
          <w:p>
            <w:r/>
            <w:r>
              <w:rPr>
                <w:rFonts w:ascii="Calibri" w:hAnsi="Calibri"/>
                <w:b w:val="0"/>
                <w:sz w:val="19"/>
              </w:rPr>
              <w:t>Logística de obra e inventarios, materiales FV (módulos, inversores, protecciones), instalación FV y pruebas eléctricas, seguridad eléctrica y trabajo en altura, e interconexión CFE con requisitos UVIE/UI.</w:t>
            </w:r>
          </w:p>
        </w:tc>
      </w:tr>
      <w:tr>
        <w:tc>
          <w:tcPr>
            <w:tcW w:type="dxa" w:w="2393"/>
          </w:tcPr>
          <w:p>
            <w:r/>
            <w:r>
              <w:rPr>
                <w:rFonts w:ascii="Calibri" w:hAnsi="Calibri"/>
                <w:b w:val="0"/>
                <w:sz w:val="19"/>
              </w:rPr>
              <w:t>Herramientas clave</w:t>
            </w:r>
          </w:p>
        </w:tc>
        <w:tc>
          <w:tcPr>
            <w:tcW w:type="dxa" w:w="7579"/>
          </w:tcPr>
          <w:p>
            <w:r/>
            <w:r>
              <w:rPr>
                <w:rFonts w:ascii="Calibri" w:hAnsi="Calibri"/>
                <w:b w:val="0"/>
                <w:sz w:val="19"/>
              </w:rPr>
              <w:t>Trello/ERP, lectura básica de planos y Office.</w:t>
            </w:r>
          </w:p>
        </w:tc>
      </w:tr>
      <w:tr>
        <w:tc>
          <w:tcPr>
            <w:tcW w:type="dxa" w:w="2393"/>
          </w:tcPr>
          <w:p>
            <w:r/>
            <w:r>
              <w:rPr>
                <w:rFonts w:ascii="Calibri" w:hAnsi="Calibri"/>
                <w:b w:val="0"/>
                <w:sz w:val="19"/>
              </w:rPr>
              <w:t>Modalidad</w:t>
            </w:r>
          </w:p>
        </w:tc>
        <w:tc>
          <w:tcPr>
            <w:tcW w:type="dxa" w:w="7579"/>
          </w:tcPr>
          <w:p>
            <w:r/>
            <w:r>
              <w:rPr>
                <w:rFonts w:ascii="Calibri" w:hAnsi="Calibri"/>
                <w:b w:val="0"/>
                <w:sz w:val="19"/>
              </w:rPr>
              <w:t>Presencial en los frentes de obra asignados, con desplazamiento a sitio. [Sitios por validar]</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Definir con la Dirección las certificaciones obligatorias del puesto. El perfil fuente menciona seguridad eléctrica y trabajo en altura, por lo que procede validar la certificación de trabajo en alturas y la constancia DC-3 de seguridad eléctrica. El perfil fuente no especifica certificaciones obligatorias; el tipo de superficie de trabajo (por ejemplo techo o polines) queda [por validar].</w:t>
            </w:r>
          </w:p>
        </w:tc>
      </w:tr>
    </w:tbl>
    <w:p>
      <w:pPr>
        <w:spacing w:after="40"/>
      </w:pPr>
    </w:p>
    <w:p>
      <w:pPr>
        <w:keepNext/>
        <w:spacing w:before="280" w:after="80"/>
        <w:pBdr>
          <w:bottom w:val="single" w:sz="8" w:color="F0E528"/>
        </w:pBdr>
      </w:pPr>
      <w:r>
        <w:rPr>
          <w:rFonts w:ascii="Georgia" w:hAnsi="Georgia"/>
          <w:b/>
          <w:color w:val="0056B4"/>
          <w:sz w:val="26"/>
        </w:rPr>
        <w:t>6. Indicadores del puesto (KPIs)</w:t>
      </w:r>
    </w:p>
    <w:p>
      <w:pPr>
        <w:spacing w:after="120"/>
      </w:pPr>
      <w:r>
        <w:rPr>
          <w:rFonts w:ascii="Calibri" w:hAnsi="Calibri"/>
          <w:color w:val="1C242E"/>
          <w:sz w:val="21"/>
        </w:rPr>
        <w:t>Indicadores de desempeño del puesto derivados de los métodos de medición del perfil fuente. Las metas marcadas como pendientes se definen con la Dirección y se revisan en la evaluación de proceso del SGC.</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3789"/>
            <w:shd w:val="clear" w:fill="0056B4"/>
          </w:tcPr>
          <w:p>
            <w:pPr>
              <w:jc w:val="center"/>
            </w:pPr>
            <w:r/>
            <w:r>
              <w:rPr>
                <w:rFonts w:ascii="Calibri" w:hAnsi="Calibri"/>
                <w:b/>
                <w:color w:val="FFFFFF"/>
                <w:sz w:val="17"/>
              </w:rPr>
              <w:t>Indicador</w:t>
            </w:r>
          </w:p>
        </w:tc>
        <w:tc>
          <w:tcPr>
            <w:tcW w:type="dxa" w:w="1994"/>
            <w:shd w:val="clear" w:fill="0056B4"/>
          </w:tcPr>
          <w:p>
            <w:pPr>
              <w:jc w:val="center"/>
            </w:pPr>
            <w:r/>
            <w:r>
              <w:rPr>
                <w:rFonts w:ascii="Calibri" w:hAnsi="Calibri"/>
                <w:b/>
                <w:color w:val="FFFFFF"/>
                <w:sz w:val="17"/>
              </w:rPr>
              <w:t>Meta</w:t>
            </w:r>
          </w:p>
        </w:tc>
        <w:tc>
          <w:tcPr>
            <w:tcW w:type="dxa" w:w="1596"/>
            <w:shd w:val="clear" w:fill="0056B4"/>
          </w:tcPr>
          <w:p>
            <w:pPr>
              <w:jc w:val="center"/>
            </w:pPr>
            <w:r/>
            <w:r>
              <w:rPr>
                <w:rFonts w:ascii="Calibri" w:hAnsi="Calibri"/>
                <w:b/>
                <w:color w:val="FFFFFF"/>
                <w:sz w:val="17"/>
              </w:rPr>
              <w:t>Frecuencia</w:t>
            </w:r>
          </w:p>
        </w:tc>
        <w:tc>
          <w:tcPr>
            <w:tcW w:type="dxa" w:w="2593"/>
            <w:shd w:val="clear" w:fill="0056B4"/>
          </w:tcPr>
          <w:p>
            <w:pPr>
              <w:jc w:val="center"/>
            </w:pPr>
            <w:r/>
            <w:r>
              <w:rPr>
                <w:rFonts w:ascii="Calibri" w:hAnsi="Calibri"/>
                <w:b/>
                <w:color w:val="FFFFFF"/>
                <w:sz w:val="17"/>
              </w:rPr>
              <w:t>Fuente / evidencia</w:t>
            </w:r>
          </w:p>
        </w:tc>
      </w:tr>
      <w:tr>
        <w:tc>
          <w:tcPr>
            <w:tcW w:type="dxa" w:w="3789"/>
          </w:tcPr>
          <w:p>
            <w:r/>
            <w:r>
              <w:rPr>
                <w:rFonts w:ascii="Calibri" w:hAnsi="Calibri"/>
                <w:b w:val="0"/>
                <w:sz w:val="19"/>
              </w:rPr>
              <w:t>Cumplimiento del programa semanal por cuadrilla</w:t>
            </w:r>
          </w:p>
        </w:tc>
        <w:tc>
          <w:tcPr>
            <w:tcW w:type="dxa" w:w="1994"/>
          </w:tcPr>
          <w:p>
            <w:r/>
            <w:r>
              <w:rPr>
                <w:rFonts w:ascii="Calibri" w:hAnsi="Calibri"/>
                <w:b w:val="0"/>
                <w:sz w:val="19"/>
              </w:rPr>
              <w:t>[Por definir con la Dirección]</w:t>
            </w:r>
          </w:p>
        </w:tc>
        <w:tc>
          <w:tcPr>
            <w:tcW w:type="dxa" w:w="1596"/>
          </w:tcPr>
          <w:p>
            <w:r/>
            <w:r>
              <w:rPr>
                <w:rFonts w:ascii="Calibri" w:hAnsi="Calibri"/>
                <w:b w:val="0"/>
                <w:sz w:val="19"/>
              </w:rPr>
              <w:t>Semanal</w:t>
            </w:r>
          </w:p>
        </w:tc>
        <w:tc>
          <w:tcPr>
            <w:tcW w:type="dxa" w:w="2593"/>
          </w:tcPr>
          <w:p>
            <w:r/>
            <w:r>
              <w:rPr>
                <w:rFonts w:ascii="Calibri" w:hAnsi="Calibri"/>
                <w:b w:val="0"/>
                <w:sz w:val="19"/>
              </w:rPr>
              <w:t>Ruta por cuadrilla y reporte de avance (Trello)</w:t>
            </w:r>
          </w:p>
        </w:tc>
      </w:tr>
      <w:tr>
        <w:tc>
          <w:tcPr>
            <w:tcW w:type="dxa" w:w="3789"/>
          </w:tcPr>
          <w:p>
            <w:r/>
            <w:r>
              <w:rPr>
                <w:rFonts w:ascii="Calibri" w:hAnsi="Calibri"/>
                <w:b w:val="0"/>
                <w:sz w:val="19"/>
              </w:rPr>
              <w:t>Obras con kit completo al arranque (todo con pedido)</w:t>
            </w:r>
          </w:p>
        </w:tc>
        <w:tc>
          <w:tcPr>
            <w:tcW w:type="dxa" w:w="1994"/>
          </w:tcPr>
          <w:p>
            <w:r/>
            <w:r>
              <w:rPr>
                <w:rFonts w:ascii="Calibri" w:hAnsi="Calibri"/>
                <w:b w:val="0"/>
                <w:sz w:val="19"/>
              </w:rPr>
              <w:t>[Por definir con la Dirección]</w:t>
            </w:r>
          </w:p>
        </w:tc>
        <w:tc>
          <w:tcPr>
            <w:tcW w:type="dxa" w:w="1596"/>
          </w:tcPr>
          <w:p>
            <w:r/>
            <w:r>
              <w:rPr>
                <w:rFonts w:ascii="Calibri" w:hAnsi="Calibri"/>
                <w:b w:val="0"/>
                <w:sz w:val="19"/>
              </w:rPr>
              <w:t>Por OV</w:t>
            </w:r>
          </w:p>
        </w:tc>
        <w:tc>
          <w:tcPr>
            <w:tcW w:type="dxa" w:w="2593"/>
          </w:tcPr>
          <w:p>
            <w:r/>
            <w:r>
              <w:rPr>
                <w:rFonts w:ascii="Calibri" w:hAnsi="Calibri"/>
                <w:b w:val="0"/>
                <w:sz w:val="19"/>
              </w:rPr>
              <w:t>Lista de embarque y control de entradas y salidas</w:t>
            </w:r>
          </w:p>
        </w:tc>
      </w:tr>
      <w:tr>
        <w:tc>
          <w:tcPr>
            <w:tcW w:type="dxa" w:w="3789"/>
          </w:tcPr>
          <w:p>
            <w:r/>
            <w:r>
              <w:rPr>
                <w:rFonts w:ascii="Calibri" w:hAnsi="Calibri"/>
                <w:b w:val="0"/>
                <w:sz w:val="19"/>
              </w:rPr>
              <w:t>Despachos sin pedido</w:t>
            </w:r>
          </w:p>
        </w:tc>
        <w:tc>
          <w:tcPr>
            <w:tcW w:type="dxa" w:w="1994"/>
          </w:tcPr>
          <w:p>
            <w:r/>
            <w:r>
              <w:rPr>
                <w:rFonts w:ascii="Calibri" w:hAnsi="Calibri"/>
                <w:b w:val="0"/>
                <w:sz w:val="19"/>
              </w:rPr>
              <w:t>0</w:t>
            </w:r>
          </w:p>
        </w:tc>
        <w:tc>
          <w:tcPr>
            <w:tcW w:type="dxa" w:w="1596"/>
          </w:tcPr>
          <w:p>
            <w:r/>
            <w:r>
              <w:rPr>
                <w:rFonts w:ascii="Calibri" w:hAnsi="Calibri"/>
                <w:b w:val="0"/>
                <w:sz w:val="19"/>
              </w:rPr>
              <w:t>Por despacho</w:t>
            </w:r>
          </w:p>
        </w:tc>
        <w:tc>
          <w:tcPr>
            <w:tcW w:type="dxa" w:w="2593"/>
          </w:tcPr>
          <w:p>
            <w:r/>
            <w:r>
              <w:rPr>
                <w:rFonts w:ascii="Calibri" w:hAnsi="Calibri"/>
                <w:b w:val="0"/>
                <w:sz w:val="19"/>
              </w:rPr>
              <w:t>Requisición contra OV (Almacén / Trello)</w:t>
            </w:r>
          </w:p>
        </w:tc>
      </w:tr>
      <w:tr>
        <w:tc>
          <w:tcPr>
            <w:tcW w:type="dxa" w:w="3789"/>
          </w:tcPr>
          <w:p>
            <w:r/>
            <w:r>
              <w:rPr>
                <w:rFonts w:ascii="Calibri" w:hAnsi="Calibri"/>
                <w:b w:val="0"/>
                <w:sz w:val="19"/>
              </w:rPr>
              <w:t>Expedientes CFE completos</w:t>
            </w:r>
          </w:p>
        </w:tc>
        <w:tc>
          <w:tcPr>
            <w:tcW w:type="dxa" w:w="1994"/>
          </w:tcPr>
          <w:p>
            <w:r/>
            <w:r>
              <w:rPr>
                <w:rFonts w:ascii="Calibri" w:hAnsi="Calibri"/>
                <w:b w:val="0"/>
                <w:sz w:val="19"/>
              </w:rPr>
              <w:t>[Por definir con la Dirección]</w:t>
            </w:r>
          </w:p>
        </w:tc>
        <w:tc>
          <w:tcPr>
            <w:tcW w:type="dxa" w:w="1596"/>
          </w:tcPr>
          <w:p>
            <w:r/>
            <w:r>
              <w:rPr>
                <w:rFonts w:ascii="Calibri" w:hAnsi="Calibri"/>
                <w:b w:val="0"/>
                <w:sz w:val="19"/>
              </w:rPr>
              <w:t>Por proyecto</w:t>
            </w:r>
          </w:p>
        </w:tc>
        <w:tc>
          <w:tcPr>
            <w:tcW w:type="dxa" w:w="2593"/>
          </w:tcPr>
          <w:p>
            <w:r/>
            <w:r>
              <w:rPr>
                <w:rFonts w:ascii="Calibri" w:hAnsi="Calibri"/>
                <w:b w:val="0"/>
                <w:sz w:val="19"/>
              </w:rPr>
              <w:t>Carpeta CFE (Trello)</w:t>
            </w:r>
          </w:p>
        </w:tc>
      </w:tr>
      <w:tr>
        <w:tc>
          <w:tcPr>
            <w:tcW w:type="dxa" w:w="3789"/>
          </w:tcPr>
          <w:p>
            <w:r/>
            <w:r>
              <w:rPr>
                <w:rFonts w:ascii="Calibri" w:hAnsi="Calibri"/>
                <w:b w:val="0"/>
                <w:sz w:val="19"/>
              </w:rPr>
              <w:t>Frentes cerrados con evidencias y checklist cargados el mismo día</w:t>
            </w:r>
          </w:p>
        </w:tc>
        <w:tc>
          <w:tcPr>
            <w:tcW w:type="dxa" w:w="1994"/>
          </w:tcPr>
          <w:p>
            <w:r/>
            <w:r>
              <w:rPr>
                <w:rFonts w:ascii="Calibri" w:hAnsi="Calibri"/>
                <w:b w:val="0"/>
                <w:sz w:val="19"/>
              </w:rPr>
              <w:t>[Por definir con la Dirección]</w:t>
            </w:r>
          </w:p>
        </w:tc>
        <w:tc>
          <w:tcPr>
            <w:tcW w:type="dxa" w:w="1596"/>
          </w:tcPr>
          <w:p>
            <w:r/>
            <w:r>
              <w:rPr>
                <w:rFonts w:ascii="Calibri" w:hAnsi="Calibri"/>
                <w:b w:val="0"/>
                <w:sz w:val="19"/>
              </w:rPr>
              <w:t>Por OV</w:t>
            </w:r>
          </w:p>
        </w:tc>
        <w:tc>
          <w:tcPr>
            <w:tcW w:type="dxa" w:w="2593"/>
          </w:tcPr>
          <w:p>
            <w:r/>
            <w:r>
              <w:rPr>
                <w:rFonts w:ascii="Calibri" w:hAnsi="Calibri"/>
                <w:b w:val="0"/>
                <w:sz w:val="19"/>
              </w:rPr>
              <w:t>Evidencias y checklist de cierre (Trello)</w:t>
            </w:r>
          </w:p>
        </w:tc>
      </w:tr>
      <w:tr>
        <w:tc>
          <w:tcPr>
            <w:tcW w:type="dxa" w:w="3789"/>
          </w:tcPr>
          <w:p>
            <w:r/>
            <w:r>
              <w:rPr>
                <w:rFonts w:ascii="Calibri" w:hAnsi="Calibri"/>
                <w:b w:val="0"/>
                <w:sz w:val="19"/>
              </w:rPr>
              <w:t>Retrabajos en el frente entregado</w:t>
            </w:r>
          </w:p>
        </w:tc>
        <w:tc>
          <w:tcPr>
            <w:tcW w:type="dxa" w:w="1994"/>
          </w:tcPr>
          <w:p>
            <w:r/>
            <w:r>
              <w:rPr>
                <w:rFonts w:ascii="Calibri" w:hAnsi="Calibri"/>
                <w:b w:val="0"/>
                <w:sz w:val="19"/>
              </w:rPr>
              <w:t>[Por definir con la Dirección]</w:t>
            </w:r>
          </w:p>
        </w:tc>
        <w:tc>
          <w:tcPr>
            <w:tcW w:type="dxa" w:w="1596"/>
          </w:tcPr>
          <w:p>
            <w:r/>
            <w:r>
              <w:rPr>
                <w:rFonts w:ascii="Calibri" w:hAnsi="Calibri"/>
                <w:b w:val="0"/>
                <w:sz w:val="19"/>
              </w:rPr>
              <w:t>Por OV</w:t>
            </w:r>
          </w:p>
        </w:tc>
        <w:tc>
          <w:tcPr>
            <w:tcW w:type="dxa" w:w="2593"/>
          </w:tcPr>
          <w:p>
            <w:r/>
            <w:r>
              <w:rPr>
                <w:rFonts w:ascii="Calibri" w:hAnsi="Calibri"/>
                <w:b w:val="0"/>
                <w:sz w:val="19"/>
              </w:rPr>
              <w:t>Punch list y checklist HSE (Trello)</w:t>
            </w:r>
          </w:p>
        </w:tc>
      </w:tr>
    </w:tbl>
    <w:p>
      <w:pPr>
        <w:keepNext/>
        <w:spacing w:before="280" w:after="80"/>
        <w:pBdr>
          <w:bottom w:val="single" w:sz="8" w:color="F0E528"/>
        </w:pBdr>
      </w:pPr>
      <w:r>
        <w:rPr>
          <w:rFonts w:ascii="Georgia" w:hAnsi="Georgia"/>
          <w:b/>
          <w:color w:val="0056B4"/>
          <w:sz w:val="26"/>
        </w:rPr>
        <w:t>7. Relaciones y línea de reporte</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992"/>
            <w:shd w:val="clear" w:fill="0056B4"/>
          </w:tcPr>
          <w:p>
            <w:pPr>
              <w:jc w:val="center"/>
            </w:pPr>
            <w:r/>
            <w:r>
              <w:rPr>
                <w:rFonts w:ascii="Calibri" w:hAnsi="Calibri"/>
                <w:b/>
                <w:color w:val="FFFFFF"/>
                <w:sz w:val="17"/>
              </w:rPr>
              <w:t>Relación</w:t>
            </w:r>
          </w:p>
        </w:tc>
        <w:tc>
          <w:tcPr>
            <w:tcW w:type="dxa" w:w="6980"/>
            <w:shd w:val="clear" w:fill="0056B4"/>
          </w:tcPr>
          <w:p>
            <w:pPr>
              <w:jc w:val="center"/>
            </w:pPr>
            <w:r/>
            <w:r>
              <w:rPr>
                <w:rFonts w:ascii="Calibri" w:hAnsi="Calibri"/>
                <w:b/>
                <w:color w:val="FFFFFF"/>
                <w:sz w:val="17"/>
              </w:rPr>
              <w:t>Rol</w:t>
            </w:r>
          </w:p>
        </w:tc>
      </w:tr>
      <w:tr>
        <w:tc>
          <w:tcPr>
            <w:tcW w:type="dxa" w:w="2992"/>
          </w:tcPr>
          <w:p>
            <w:r/>
            <w:r>
              <w:rPr>
                <w:rFonts w:ascii="Calibri" w:hAnsi="Calibri"/>
                <w:b w:val="0"/>
                <w:sz w:val="19"/>
              </w:rPr>
              <w:t>Reporta a</w:t>
            </w:r>
          </w:p>
        </w:tc>
        <w:tc>
          <w:tcPr>
            <w:tcW w:type="dxa" w:w="6980"/>
          </w:tcPr>
          <w:p>
            <w:r/>
            <w:r>
              <w:rPr>
                <w:rFonts w:ascii="Calibri" w:hAnsi="Calibri"/>
                <w:b w:val="0"/>
                <w:sz w:val="19"/>
              </w:rPr>
              <w:t>Gerencia de Operaciones (el perfil fuente refiere al Gerente que aprueba el programa y las reprogramaciones). [Denominación exacta por validar]</w:t>
            </w:r>
          </w:p>
        </w:tc>
      </w:tr>
      <w:tr>
        <w:tc>
          <w:tcPr>
            <w:tcW w:type="dxa" w:w="2992"/>
          </w:tcPr>
          <w:p>
            <w:r/>
            <w:r>
              <w:rPr>
                <w:rFonts w:ascii="Calibri" w:hAnsi="Calibri"/>
                <w:b w:val="0"/>
                <w:sz w:val="19"/>
              </w:rPr>
              <w:t>Supervisa a</w:t>
            </w:r>
          </w:p>
        </w:tc>
        <w:tc>
          <w:tcPr>
            <w:tcW w:type="dxa" w:w="6980"/>
          </w:tcPr>
          <w:p>
            <w:r/>
            <w:r>
              <w:rPr>
                <w:rFonts w:ascii="Calibri" w:hAnsi="Calibri"/>
                <w:b w:val="0"/>
                <w:sz w:val="19"/>
              </w:rPr>
              <w:t>Cuadrillas de instalación en campo (instaladores).</w:t>
            </w:r>
          </w:p>
        </w:tc>
      </w:tr>
      <w:tr>
        <w:tc>
          <w:tcPr>
            <w:tcW w:type="dxa" w:w="2992"/>
          </w:tcPr>
          <w:p>
            <w:r/>
            <w:r>
              <w:rPr>
                <w:rFonts w:ascii="Calibri" w:hAnsi="Calibri"/>
                <w:b w:val="0"/>
                <w:sz w:val="19"/>
              </w:rPr>
              <w:t>Coordinación interna clave</w:t>
            </w:r>
          </w:p>
        </w:tc>
        <w:tc>
          <w:tcPr>
            <w:tcW w:type="dxa" w:w="6980"/>
          </w:tcPr>
          <w:p>
            <w:r/>
            <w:r>
              <w:rPr>
                <w:rFonts w:ascii="Calibri" w:hAnsi="Calibri"/>
                <w:b w:val="0"/>
                <w:sz w:val="19"/>
              </w:rPr>
              <w:t>Ingeniería (especificaciones, encendido y VoBo de sustituciones), Almacén (kit y material), Ventas o Comercial (citas y ventanas de acceso) y Administración (cierre de cobranza por checklist).</w:t>
            </w:r>
          </w:p>
        </w:tc>
      </w:tr>
      <w:tr>
        <w:tc>
          <w:tcPr>
            <w:tcW w:type="dxa" w:w="2992"/>
          </w:tcPr>
          <w:p>
            <w:r/>
            <w:r>
              <w:rPr>
                <w:rFonts w:ascii="Calibri" w:hAnsi="Calibri"/>
                <w:b w:val="0"/>
                <w:sz w:val="19"/>
              </w:rPr>
              <w:t>Interlocutores externos</w:t>
            </w:r>
          </w:p>
        </w:tc>
        <w:tc>
          <w:tcPr>
            <w:tcW w:type="dxa" w:w="6980"/>
          </w:tcPr>
          <w:p>
            <w:r/>
            <w:r>
              <w:rPr>
                <w:rFonts w:ascii="Calibri" w:hAnsi="Calibri"/>
                <w:b w:val="0"/>
                <w:sz w:val="19"/>
              </w:rPr>
              <w:t>Cliente final (acceso, entrega y satisfacción) y CFE (cambio de medidor e interconexión).</w:t>
            </w:r>
          </w:p>
        </w:tc>
      </w:tr>
    </w:tbl>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de Operaciones</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Coordinador de Instalaciones · PER-CIS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