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448"/>
            <w:vMerge w:val="restart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1224000" cy="402171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aneles-solares-chihuahua-financiamiento-cotizacion-credito-energia-solar-cibanco-solarpro-sustainable-energy-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0" cy="40217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080"/>
            <w:vMerge w:val="restart"/>
            <w:shd w:val="clear" w:fill="F2F2F2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sz w:val="26"/>
              </w:rPr>
              <w:t>Cotización y Precotización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Código: </w:t>
            </w:r>
            <w:r>
              <w:rPr>
                <w:rFonts w:ascii="Calibri" w:hAnsi="Calibri"/>
                <w:sz w:val="15"/>
              </w:rPr>
              <w:t>PRO-VEN-02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Versión: </w:t>
            </w:r>
            <w:r>
              <w:rPr>
                <w:rFonts w:ascii="Calibri" w:hAnsi="Calibri"/>
                <w:sz w:val="15"/>
              </w:rPr>
              <w:t>1.0</w:t>
            </w:r>
          </w:p>
        </w:tc>
      </w:tr>
      <w:tr>
        <w:tc>
          <w:tcPr>
            <w:tcW w:type="dxa" w:w="2448"/>
            <w:vMerge/>
          </w:tcPr>
          <w:p/>
        </w:tc>
        <w:tc>
          <w:tcPr>
            <w:tcW w:type="dxa" w:w="4080"/>
            <w:vMerge/>
          </w:tcPr>
          <w:p/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Emisión: </w:t>
            </w:r>
            <w:r>
              <w:rPr>
                <w:rFonts w:ascii="Calibri" w:hAnsi="Calibri"/>
                <w:sz w:val="15"/>
              </w:rPr>
              <w:t>Septiembre 2026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Revisión: </w:t>
            </w:r>
            <w:r>
              <w:rPr>
                <w:rFonts w:ascii="Calibri" w:hAnsi="Calibri"/>
                <w:sz w:val="15"/>
              </w:rPr>
              <w:t>Diciembre 2026</w:t>
            </w:r>
          </w:p>
        </w:tc>
      </w:tr>
      <w:tr>
        <w:tc>
          <w:tcPr>
            <w:tcW w:type="dxa" w:w="2448"/>
            <w:vMerge/>
          </w:tcPr>
          <w:p/>
        </w:tc>
        <w:tc>
          <w:tcPr>
            <w:tcW w:type="dxa" w:w="408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6"/>
              </w:rPr>
              <w:t>Procedimiento Comercial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Estado: </w:t>
            </w:r>
            <w:r>
              <w:rPr>
                <w:rFonts w:ascii="Calibri" w:hAnsi="Calibri"/>
                <w:sz w:val="15"/>
              </w:rPr>
              <w:t>Borrador para validación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Página: </w:t>
            </w:r>
            <w:r>
              <w:rPr>
                <w:rFonts w:ascii="Calibri" w:hAnsi="Calibri"/>
                <w:sz w:val="15"/>
              </w:rPr>
              <w:fldChar w:fldCharType="begin"/>
            </w:r>
            <w:r>
              <w:rPr>
                <w:rFonts w:ascii="Calibri" w:hAnsi="Calibri"/>
                <w:sz w:val="15"/>
              </w:rPr>
              <w:instrText xml:space="preserve"> PAGE </w:instrText>
            </w:r>
            <w:r>
              <w:fldChar w:fldCharType="separate"/>
            </w:r>
            <w:r>
              <w:rPr>
                <w:rFonts w:ascii="Calibri" w:hAnsi="Calibri"/>
                <w:sz w:val="15"/>
              </w:rPr>
              <w:t>1</w:t>
            </w:r>
            <w:r>
              <w:fldChar w:fldCharType="end"/>
            </w:r>
            <w:r>
              <w:rPr>
                <w:rFonts w:ascii="Calibri" w:hAnsi="Calibri"/>
                <w:sz w:val="15"/>
              </w:rPr>
              <w:t xml:space="preserve"> de </w:t>
            </w:r>
            <w:r>
              <w:rPr>
                <w:rFonts w:ascii="Calibri" w:hAnsi="Calibri"/>
                <w:sz w:val="15"/>
              </w:rPr>
              <w:fldChar w:fldCharType="begin"/>
            </w:r>
            <w:r>
              <w:rPr>
                <w:rFonts w:ascii="Calibri" w:hAnsi="Calibri"/>
                <w:sz w:val="15"/>
              </w:rPr>
              <w:instrText xml:space="preserve"> NUMPAGES </w:instrText>
            </w:r>
            <w:r>
              <w:fldChar w:fldCharType="separate"/>
            </w:r>
            <w:r>
              <w:rPr>
                <w:rFonts w:ascii="Calibri" w:hAnsi="Calibri"/>
                <w:sz w:val="15"/>
              </w:rPr>
              <w:t>1</w:t>
            </w:r>
            <w:r>
              <w:fldChar w:fldCharType="end"/>
            </w:r>
          </w:p>
        </w:tc>
      </w:tr>
      <w:tr>
        <w:tc>
          <w:tcPr>
            <w:tcW w:type="dxa" w:w="2448"/>
            <w:vMerge/>
          </w:tcPr>
          <w:p/>
        </w:tc>
        <w:tc>
          <w:tcPr>
            <w:tcW w:type="dxa" w:w="408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6"/>
              </w:rPr>
              <w:t>Cláusula ISO 9001: 8.2.1, 8.2.2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Propietario: </w:t>
            </w:r>
            <w:r>
              <w:rPr>
                <w:rFonts w:ascii="Calibri" w:hAnsi="Calibri"/>
                <w:sz w:val="15"/>
              </w:rPr>
              <w:t>Gerencia Comercial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Elaboró: </w:t>
            </w:r>
            <w:r>
              <w:rPr>
                <w:rFonts w:ascii="Calibri" w:hAnsi="Calibri"/>
                <w:sz w:val="15"/>
              </w:rPr>
              <w:t>DETA Consultores</w:t>
            </w:r>
          </w:p>
        </w:tc>
      </w:tr>
    </w:tbl>
    <w:p>
      <w:pPr>
        <w:spacing w:before="40" w:after="160"/>
        <w:pBdr>
          <w:bottom w:val="single" w:sz="18" w:color="F0E528"/>
        </w:pBdr>
      </w:pPr>
    </w:p>
    <w:tbl>
      <w:tblPr>
        <w:tblW w:type="auto" w:w="0"/>
        <w:tblLook w:firstColumn="1" w:firstRow="1" w:lastColumn="0" w:lastRow="0" w:noHBand="0" w:noVBand="1" w:val="04A0"/>
        <w:tblBorders>
          <w:left w:val="single" w:sz="16" w:color="F0E528"/>
        </w:tblBorders>
      </w:tblPr>
      <w:tblGrid>
        <w:gridCol w:w="10200"/>
      </w:tblGrid>
      <w:tr>
        <w:tc>
          <w:tcPr>
            <w:tcW w:type="dxa" w:w="10200"/>
            <w:shd w:val="clear" w:fill="FFF9DB"/>
          </w:tcPr>
          <w:p>
            <w:r/>
            <w:r>
              <w:rPr>
                <w:rFonts w:ascii="Calibri" w:hAnsi="Calibri"/>
                <w:b w:val="0"/>
                <w:color w:val="003D80"/>
                <w:sz w:val="17"/>
              </w:rPr>
              <w:t>Importante: La cotización formal es el documento de referencia del proyecto; un mensaje de WhatsApp no vincula. Al aceptar la precotización se crea la tarjeta de Trello, repositorio único del proyecto.</w:t>
            </w:r>
          </w:p>
        </w:tc>
      </w:tr>
    </w:tbl>
    <w:p>
      <w:pPr>
        <w:spacing w:after="40"/>
      </w:pP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1. OBJETIVO</w:t>
      </w:r>
    </w:p>
    <w:p>
      <w:pPr>
        <w:spacing w:after="120"/>
      </w:pPr>
      <w:r>
        <w:rPr>
          <w:rFonts w:ascii="Calibri" w:hAnsi="Calibri"/>
          <w:color w:val="1C242E"/>
          <w:sz w:val="21"/>
        </w:rPr>
        <w:t>Estandarizar la elaboración de la precotización y la cotización formal a partir del recibo CFE y el levantamiento de necesidades, y su registro en la tarjeta de Trello, para dar certeza al cliente y trazabilidad al proyecto.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2. ALCANCE</w:t>
      </w:r>
    </w:p>
    <w:p>
      <w:pPr>
        <w:spacing w:after="120"/>
      </w:pPr>
      <w:r>
        <w:rPr>
          <w:rFonts w:ascii="Calibri" w:hAnsi="Calibri"/>
          <w:color w:val="1C242E"/>
          <w:sz w:val="21"/>
        </w:rPr>
        <w:t>Aplica a todo prospecto calificado. Cubre desde la recepción del recibo CFE y los datos del cliente hasta la emisión de la cotización formal y la creación de la tarjeta de Trello al aceptar la precotización.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3. DEFINICIONES Y ABREVIATURAS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5100"/>
        <w:gridCol w:w="5100"/>
      </w:tblGrid>
      <w:tr>
        <w:tc>
          <w:tcPr>
            <w:tcW w:type="dxa" w:w="2856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Término</w:t>
            </w:r>
          </w:p>
        </w:tc>
        <w:tc>
          <w:tcPr>
            <w:tcW w:type="dxa" w:w="7344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Definición</w:t>
            </w:r>
          </w:p>
        </w:tc>
      </w:tr>
      <w:tr>
        <w:tc>
          <w:tcPr>
            <w:tcW w:type="dxa" w:w="2856"/>
          </w:tcPr>
          <w:p>
            <w:r/>
            <w:r>
              <w:rPr>
                <w:rFonts w:ascii="Calibri" w:hAnsi="Calibri"/>
                <w:b w:val="0"/>
                <w:sz w:val="19"/>
              </w:rPr>
              <w:t>Precotización</w:t>
            </w:r>
          </w:p>
        </w:tc>
        <w:tc>
          <w:tcPr>
            <w:tcW w:type="dxa" w:w="7344"/>
          </w:tcPr>
          <w:p>
            <w:r/>
            <w:r>
              <w:rPr>
                <w:rFonts w:ascii="Calibri" w:hAnsi="Calibri"/>
                <w:b w:val="0"/>
                <w:sz w:val="19"/>
              </w:rPr>
              <w:t>Estimación inicial que se comparte con el cliente antes de la cotización formal.</w:t>
            </w:r>
          </w:p>
        </w:tc>
      </w:tr>
      <w:tr>
        <w:tc>
          <w:tcPr>
            <w:tcW w:type="dxa" w:w="2856"/>
          </w:tcPr>
          <w:p>
            <w:r/>
            <w:r>
              <w:rPr>
                <w:rFonts w:ascii="Calibri" w:hAnsi="Calibri"/>
                <w:b w:val="0"/>
                <w:sz w:val="19"/>
              </w:rPr>
              <w:t>Cotización formal</w:t>
            </w:r>
          </w:p>
        </w:tc>
        <w:tc>
          <w:tcPr>
            <w:tcW w:type="dxa" w:w="7344"/>
          </w:tcPr>
          <w:p>
            <w:r/>
            <w:r>
              <w:rPr>
                <w:rFonts w:ascii="Calibri" w:hAnsi="Calibri"/>
                <w:b w:val="0"/>
                <w:sz w:val="19"/>
              </w:rPr>
              <w:t>Documento de referencia del proyecto con el alcance, el precio y las condiciones.</w:t>
            </w:r>
          </w:p>
        </w:tc>
      </w:tr>
      <w:tr>
        <w:tc>
          <w:tcPr>
            <w:tcW w:type="dxa" w:w="2856"/>
          </w:tcPr>
          <w:p>
            <w:r/>
            <w:r>
              <w:rPr>
                <w:rFonts w:ascii="Calibri" w:hAnsi="Calibri"/>
                <w:b w:val="0"/>
                <w:sz w:val="19"/>
              </w:rPr>
              <w:t>Congelamiento de precio</w:t>
            </w:r>
          </w:p>
        </w:tc>
        <w:tc>
          <w:tcPr>
            <w:tcW w:type="dxa" w:w="7344"/>
          </w:tcPr>
          <w:p>
            <w:r/>
            <w:r>
              <w:rPr>
                <w:rFonts w:ascii="Calibri" w:hAnsi="Calibri"/>
                <w:b w:val="0"/>
                <w:sz w:val="19"/>
              </w:rPr>
              <w:t>El precio de la cotización formal puede mantenerse durante el primer mes.</w:t>
            </w:r>
          </w:p>
        </w:tc>
      </w:tr>
      <w:tr>
        <w:tc>
          <w:tcPr>
            <w:tcW w:type="dxa" w:w="2856"/>
          </w:tcPr>
          <w:p>
            <w:r/>
            <w:r>
              <w:rPr>
                <w:rFonts w:ascii="Calibri" w:hAnsi="Calibri"/>
                <w:b w:val="0"/>
                <w:sz w:val="19"/>
              </w:rPr>
              <w:t>Tipo de prospecto</w:t>
            </w:r>
          </w:p>
        </w:tc>
        <w:tc>
          <w:tcPr>
            <w:tcW w:type="dxa" w:w="7344"/>
          </w:tcPr>
          <w:p>
            <w:r/>
            <w:r>
              <w:rPr>
                <w:rFonts w:ascii="Calibri" w:hAnsi="Calibri"/>
                <w:b w:val="0"/>
                <w:sz w:val="19"/>
              </w:rPr>
              <w:t>Clasificación de la venta: residencial, comercial o industrial, y por categoría (nuevo, recompra, ampliación, referido).</w:t>
            </w:r>
          </w:p>
        </w:tc>
      </w:tr>
    </w:tbl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4. DOCUMENTOS DE REFERENCIA</w:t>
      </w:r>
    </w:p>
    <w:p>
      <w:pPr>
        <w:pStyle w:val="ListBullet"/>
      </w:pPr>
      <w:r>
        <w:rPr>
          <w:rFonts w:ascii="Calibri" w:hAnsi="Calibri"/>
          <w:sz w:val="20"/>
        </w:rPr>
        <w:t>ISO 9001:2015 cláusulas 8.2.1 (comunicación con el cliente) y 8.2.2 (determinación de los requisitos)</w:t>
      </w:r>
    </w:p>
    <w:p>
      <w:pPr>
        <w:pStyle w:val="ListBullet"/>
      </w:pPr>
      <w:r>
        <w:rPr>
          <w:rFonts w:ascii="Calibri" w:hAnsi="Calibri"/>
          <w:sz w:val="20"/>
        </w:rPr>
        <w:t>POL-VEN-001 Políticas Comerciales</w:t>
      </w:r>
    </w:p>
    <w:p>
      <w:pPr>
        <w:pStyle w:val="ListBullet"/>
      </w:pPr>
      <w:r>
        <w:rPr>
          <w:rFonts w:ascii="Calibri" w:hAnsi="Calibri"/>
          <w:sz w:val="20"/>
        </w:rPr>
        <w:t>PRO-VEN-01 Recepción y Calificación de Leads</w:t>
      </w:r>
    </w:p>
    <w:p>
      <w:pPr>
        <w:pStyle w:val="ListBullet"/>
      </w:pPr>
      <w:r>
        <w:rPr>
          <w:rFonts w:ascii="Calibri" w:hAnsi="Calibri"/>
          <w:sz w:val="20"/>
        </w:rPr>
        <w:t>PRO-VEN-03 Cierre, Contrato y Anticipo</w:t>
      </w:r>
    </w:p>
    <w:p>
      <w:pPr>
        <w:pStyle w:val="ListBullet"/>
      </w:pPr>
      <w:r>
        <w:rPr>
          <w:rFonts w:ascii="Calibri" w:hAnsi="Calibri"/>
          <w:sz w:val="20"/>
        </w:rPr>
        <w:t>PRO-VEN-04 Handoff Comercial a Ingeniería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5. RESPONSABILIDADES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5100"/>
        <w:gridCol w:w="5100"/>
      </w:tblGrid>
      <w:tr>
        <w:tc>
          <w:tcPr>
            <w:tcW w:type="dxa" w:w="3060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Responsable</w:t>
            </w:r>
          </w:p>
        </w:tc>
        <w:tc>
          <w:tcPr>
            <w:tcW w:type="dxa" w:w="7140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Funciones</w:t>
            </w:r>
          </w:p>
        </w:tc>
      </w:tr>
      <w:tr>
        <w:tc>
          <w:tcPr>
            <w:tcW w:type="dxa" w:w="3060"/>
          </w:tcPr>
          <w:p>
            <w:r/>
            <w:r>
              <w:rPr>
                <w:rFonts w:ascii="Calibri" w:hAnsi="Calibri"/>
                <w:b w:val="0"/>
                <w:sz w:val="19"/>
              </w:rPr>
              <w:t>Especialista de Producto</w:t>
            </w:r>
          </w:p>
        </w:tc>
        <w:tc>
          <w:tcPr>
            <w:tcW w:type="dxa" w:w="7140"/>
          </w:tcPr>
          <w:p>
            <w:r/>
            <w:r>
              <w:rPr>
                <w:rFonts w:ascii="Calibri" w:hAnsi="Calibri"/>
                <w:b w:val="0"/>
                <w:sz w:val="19"/>
              </w:rPr>
              <w:t>Recibir el recibo CFE y los datos  ·  Dimensionar y precotizar en Control Sun  ·  Emitir la cotización formal  ·  Crear la tarjeta de Trello al aceptar</w:t>
            </w:r>
          </w:p>
        </w:tc>
      </w:tr>
      <w:tr>
        <w:tc>
          <w:tcPr>
            <w:tcW w:type="dxa" w:w="3060"/>
          </w:tcPr>
          <w:p>
            <w:r/>
            <w:r>
              <w:rPr>
                <w:rFonts w:ascii="Calibri" w:hAnsi="Calibri"/>
                <w:b w:val="0"/>
                <w:sz w:val="19"/>
              </w:rPr>
              <w:t>Gerencia Comercial</w:t>
            </w:r>
          </w:p>
        </w:tc>
        <w:tc>
          <w:tcPr>
            <w:tcW w:type="dxa" w:w="7140"/>
          </w:tcPr>
          <w:p>
            <w:r/>
            <w:r>
              <w:rPr>
                <w:rFonts w:ascii="Calibri" w:hAnsi="Calibri"/>
                <w:b w:val="0"/>
                <w:sz w:val="19"/>
              </w:rPr>
              <w:t>Autorizar variaciones de precio y condiciones</w:t>
            </w:r>
          </w:p>
        </w:tc>
      </w:tr>
    </w:tbl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6. POLÍTICAS Y LINEAMIENTOS</w:t>
      </w:r>
    </w:p>
    <w:p>
      <w:pPr>
        <w:spacing w:after="100"/>
      </w:pPr>
      <w:r>
        <w:rPr>
          <w:b/>
          <w:color w:val="0056B4"/>
          <w:sz w:val="20"/>
        </w:rPr>
        <w:t xml:space="preserve">Trello como fuente única. </w:t>
      </w:r>
      <w:r>
        <w:rPr>
          <w:rFonts w:ascii="Calibri" w:hAnsi="Calibri"/>
          <w:sz w:val="20"/>
        </w:rPr>
        <w:t>Al aceptar la precotización se crea la tarjeta de Trello; sin tarjeta completa el proyecto no existe para operaciones.</w:t>
      </w:r>
    </w:p>
    <w:p>
      <w:pPr>
        <w:spacing w:after="100"/>
      </w:pPr>
      <w:r>
        <w:rPr>
          <w:b/>
          <w:color w:val="0056B4"/>
          <w:sz w:val="20"/>
        </w:rPr>
        <w:t xml:space="preserve">Documento de referencia. </w:t>
      </w:r>
      <w:r>
        <w:rPr>
          <w:rFonts w:ascii="Calibri" w:hAnsi="Calibri"/>
          <w:sz w:val="20"/>
        </w:rPr>
        <w:t>La cotización formal es el documento vinculante; un mensaje de WhatsApp no la sustituye.</w:t>
      </w:r>
    </w:p>
    <w:p>
      <w:pPr>
        <w:spacing w:after="100"/>
      </w:pPr>
      <w:r>
        <w:rPr>
          <w:b/>
          <w:color w:val="0056B4"/>
          <w:sz w:val="20"/>
        </w:rPr>
        <w:t xml:space="preserve">Congelamiento de precio. </w:t>
      </w:r>
      <w:r>
        <w:rPr>
          <w:rFonts w:ascii="Calibri" w:hAnsi="Calibri"/>
          <w:sz w:val="20"/>
        </w:rPr>
        <w:t>El precio puede congelarse durante el primer mes; toda variación requiere autorización de Gerencia Comercial.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7. DESARROLLO DEL PROCEDIMIENTO</w:t>
      </w:r>
    </w:p>
    <w:p>
      <w:pPr>
        <w:spacing w:after="80"/>
      </w:pPr>
      <w:r>
        <w:rPr>
          <w:rFonts w:ascii="Calibri" w:hAnsi="Calibri"/>
          <w:color w:val="1C242E"/>
          <w:sz w:val="20"/>
        </w:rPr>
        <w:t>El procedimiento se desarrolla en fases secuenciales. Cada paso identifica al responsable y, cuando aplica, el registro que debe generarse.</w:t>
      </w:r>
    </w:p>
    <w:p>
      <w:pPr>
        <w:spacing w:before="160" w:after="60"/>
      </w:pPr>
      <w:r>
        <w:rPr>
          <w:b/>
          <w:color w:val="1C242E"/>
          <w:sz w:val="21"/>
        </w:rPr>
        <w:t>Fase 1. Levantamiento</w:t>
      </w:r>
    </w:p>
    <w:p>
      <w:pPr>
        <w:spacing w:after="60"/>
        <w:ind w:left="340"/>
      </w:pPr>
      <w:r>
        <w:rPr>
          <w:b/>
          <w:sz w:val="20"/>
        </w:rPr>
        <w:t xml:space="preserve">1. Recibir el recibo CFE y los datos </w:t>
      </w:r>
      <w:r>
        <w:rPr>
          <w:rFonts w:ascii="Calibri" w:hAnsi="Calibri"/>
          <w:sz w:val="20"/>
        </w:rPr>
        <w:t>· Solicitar el recibo CFE, la ubicación, el tipo de prospecto y las necesidades del cliente.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Especialista de Producto</w:t>
      </w:r>
    </w:p>
    <w:p>
      <w:pPr>
        <w:spacing w:after="60"/>
        <w:ind w:left="340"/>
      </w:pPr>
      <w:r>
        <w:rPr>
          <w:b/>
          <w:sz w:val="20"/>
        </w:rPr>
        <w:t xml:space="preserve">2. Dimensionar y precotizar </w:t>
      </w:r>
      <w:r>
        <w:rPr>
          <w:rFonts w:ascii="Calibri" w:hAnsi="Calibri"/>
          <w:sz w:val="20"/>
        </w:rPr>
        <w:t>· Dimensionar el sistema y elaborar la precotización en Control Sun.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Especialista de Producto</w:t>
      </w:r>
    </w:p>
    <w:p>
      <w:pPr>
        <w:spacing w:before="160" w:after="60"/>
      </w:pPr>
      <w:r>
        <w:rPr>
          <w:b/>
          <w:color w:val="1C242E"/>
          <w:sz w:val="21"/>
        </w:rPr>
        <w:t>Fase 2. Presentación</w:t>
      </w:r>
    </w:p>
    <w:p>
      <w:pPr>
        <w:spacing w:after="60"/>
        <w:ind w:left="340"/>
      </w:pPr>
      <w:r>
        <w:rPr>
          <w:b/>
          <w:sz w:val="20"/>
        </w:rPr>
        <w:t xml:space="preserve">3. Presentar la precotización </w:t>
      </w:r>
      <w:r>
        <w:rPr>
          <w:rFonts w:ascii="Calibri" w:hAnsi="Calibri"/>
          <w:sz w:val="20"/>
        </w:rPr>
        <w:t>· Compartir la precotización con el cliente.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Especialista de Producto</w:t>
      </w:r>
    </w:p>
    <w:p>
      <w:pPr>
        <w:spacing w:after="60"/>
        <w:ind w:left="340"/>
      </w:pPr>
      <w:r>
        <w:rPr>
          <w:b/>
          <w:sz w:val="20"/>
        </w:rPr>
        <w:t xml:space="preserve">4. Registrar la respuesta </w:t>
      </w:r>
      <w:r>
        <w:rPr>
          <w:rFonts w:ascii="Calibri" w:hAnsi="Calibri"/>
          <w:sz w:val="20"/>
        </w:rPr>
        <w:t>· Si el cliente acepta, se crea la tarjeta de Trello; si no acepta, se registra el motivo en el CRM y se da seguimiento o se cierra.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Especialista de Producto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Control: </w:t>
      </w:r>
      <w:r>
        <w:rPr>
          <w:rFonts w:ascii="Calibri" w:hAnsi="Calibri"/>
          <w:color w:val="595959"/>
          <w:sz w:val="18"/>
        </w:rPr>
        <w:t>Aceptación de la precotización</w:t>
      </w:r>
    </w:p>
    <w:p>
      <w:pPr>
        <w:spacing w:before="160" w:after="60"/>
      </w:pPr>
      <w:r>
        <w:rPr>
          <w:b/>
          <w:color w:val="1C242E"/>
          <w:sz w:val="21"/>
        </w:rPr>
        <w:t>Fase 3. Cotización formal</w:t>
      </w:r>
    </w:p>
    <w:p>
      <w:pPr>
        <w:spacing w:after="60"/>
        <w:ind w:left="340"/>
      </w:pPr>
      <w:r>
        <w:rPr>
          <w:b/>
          <w:sz w:val="20"/>
        </w:rPr>
        <w:t xml:space="preserve">5. Emitir la cotización formal </w:t>
      </w:r>
      <w:r>
        <w:rPr>
          <w:rFonts w:ascii="Calibri" w:hAnsi="Calibri"/>
          <w:sz w:val="20"/>
        </w:rPr>
        <w:t>· Elaborar la cotización formal como documento de referencia y adjuntarla a la tarjeta.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Especialista de Producto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Registro: </w:t>
      </w:r>
      <w:r>
        <w:rPr>
          <w:rFonts w:ascii="Calibri" w:hAnsi="Calibri"/>
          <w:color w:val="595959"/>
          <w:sz w:val="18"/>
        </w:rPr>
        <w:t>Cotización formal en Trello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8. DIAGRAMA DE FLUJO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246016" cy="6840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o-ven-02-cotizacion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46016" cy="684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595959"/>
          <w:sz w:val="17"/>
        </w:rPr>
        <w:t>Del recibo CFE a la cotización formal registrada en Trello.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9. REGISTROS Y FORMATOS ASOCIADOS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5100"/>
        <w:gridCol w:w="5100"/>
      </w:tblGrid>
      <w:tr>
        <w:tc>
          <w:tcPr>
            <w:tcW w:type="dxa" w:w="2856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Código</w:t>
            </w:r>
          </w:p>
        </w:tc>
        <w:tc>
          <w:tcPr>
            <w:tcW w:type="dxa" w:w="7344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Formato</w:t>
            </w:r>
          </w:p>
        </w:tc>
      </w:tr>
      <w:tr>
        <w:tc>
          <w:tcPr>
            <w:tcW w:type="dxa" w:w="2856"/>
          </w:tcPr>
          <w:p>
            <w:r/>
            <w:r>
              <w:rPr>
                <w:rFonts w:ascii="Calibri" w:hAnsi="Calibri"/>
                <w:b w:val="0"/>
                <w:sz w:val="19"/>
              </w:rPr>
              <w:t>Trello</w:t>
            </w:r>
          </w:p>
        </w:tc>
        <w:tc>
          <w:tcPr>
            <w:tcW w:type="dxa" w:w="7344"/>
          </w:tcPr>
          <w:p>
            <w:r/>
            <w:r>
              <w:rPr>
                <w:rFonts w:ascii="Calibri" w:hAnsi="Calibri"/>
                <w:b w:val="0"/>
                <w:sz w:val="19"/>
              </w:rPr>
              <w:t>Cotización formal y tarjeta de proyecto</w:t>
            </w:r>
          </w:p>
        </w:tc>
      </w:tr>
    </w:tbl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10. CONTROL DE CAMBIOS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224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Versión</w:t>
            </w:r>
          </w:p>
        </w:tc>
        <w:tc>
          <w:tcPr>
            <w:tcW w:type="dxa" w:w="1632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Fecha</w:t>
            </w:r>
          </w:p>
        </w:tc>
        <w:tc>
          <w:tcPr>
            <w:tcW w:type="dxa" w:w="5712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Descripción del cambio</w:t>
            </w:r>
          </w:p>
        </w:tc>
        <w:tc>
          <w:tcPr>
            <w:tcW w:type="dxa" w:w="1632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Elaboró</w:t>
            </w:r>
          </w:p>
        </w:tc>
      </w:tr>
      <w:tr>
        <w:tc>
          <w:tcPr>
            <w:tcW w:type="dxa" w:w="1224"/>
          </w:tcPr>
          <w:p>
            <w:r/>
            <w:r>
              <w:rPr>
                <w:rFonts w:ascii="Calibri" w:hAnsi="Calibri"/>
                <w:b w:val="0"/>
                <w:sz w:val="19"/>
              </w:rPr>
              <w:t>1.0</w:t>
            </w:r>
          </w:p>
        </w:tc>
        <w:tc>
          <w:tcPr>
            <w:tcW w:type="dxa" w:w="1632"/>
          </w:tcPr>
          <w:p>
            <w:r/>
            <w:r>
              <w:rPr>
                <w:rFonts w:ascii="Calibri" w:hAnsi="Calibri"/>
                <w:b w:val="0"/>
                <w:sz w:val="19"/>
              </w:rPr>
              <w:t>Septiembre 2026</w:t>
            </w:r>
          </w:p>
        </w:tc>
        <w:tc>
          <w:tcPr>
            <w:tcW w:type="dxa" w:w="5712"/>
          </w:tcPr>
          <w:p>
            <w:r/>
            <w:r>
              <w:rPr>
                <w:rFonts w:ascii="Calibri" w:hAnsi="Calibri"/>
                <w:b w:val="0"/>
                <w:sz w:val="19"/>
              </w:rPr>
              <w:t>Emisión inicial a partir de las Políticas Comerciales v2. Revisión trimestral.</w:t>
            </w:r>
          </w:p>
        </w:tc>
        <w:tc>
          <w:tcPr>
            <w:tcW w:type="dxa" w:w="1632"/>
          </w:tcPr>
          <w:p>
            <w:r/>
            <w:r>
              <w:rPr>
                <w:rFonts w:ascii="Calibri" w:hAnsi="Calibri"/>
                <w:b w:val="0"/>
                <w:sz w:val="19"/>
              </w:rPr>
              <w:t>DETA Consultores</w:t>
            </w:r>
          </w:p>
        </w:tc>
      </w:tr>
    </w:tbl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11. CONTROL DE FIRMAS</w:t>
      </w:r>
    </w:p>
    <w:p>
      <w:pPr>
        <w:spacing w:after="120"/>
      </w:pPr>
    </w:p>
    <w:p>
      <w:pPr>
        <w:keepNext/>
        <w:spacing w:after="3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</w:tr>
      <w:tr>
        <w:tc>
          <w:tcPr>
            <w:tcW w:type="dxa" w:w="34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Elaboró</w:t>
              <w:br/>
              <w:t>DETA Consultores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Revisó</w:t>
              <w:br/>
              <w:t>Gerencia Comercial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Aprobó</w:t>
              <w:br/>
              <w:t>Dirección General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  <w:r>
      <w:rPr>
        <w:rFonts w:ascii="Calibri" w:hAnsi="Calibri"/>
        <w:color w:val="595959"/>
        <w:sz w:val="15"/>
      </w:rPr>
      <w:t>SolarPro · Procedimiento Comercial · PRO-VEN-02 V1.0</w:t>
    </w:r>
    <w:r>
      <w:tab/>
      <w:tab/>
    </w:r>
    <w:r>
      <w:rPr>
        <w:rFonts w:ascii="Calibri" w:hAnsi="Calibri"/>
        <w:color w:val="595959"/>
        <w:sz w:val="15"/>
      </w:rPr>
      <w:t>Elaboró DETA Consultores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