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448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224000" cy="40217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aneles-solares-chihuahua-financiamiento-cotizacion-credito-energia-solar-cibanco-solarpro-sustainable-energy-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40217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80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6"/>
              </w:rPr>
              <w:t>Cuentas Estratégicas e Industrial-Licitaciones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Código: </w:t>
            </w:r>
            <w:r>
              <w:rPr>
                <w:rFonts w:ascii="Calibri" w:hAnsi="Calibri"/>
                <w:sz w:val="15"/>
              </w:rPr>
              <w:t>PRO-VEN-06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Versión: </w:t>
            </w:r>
            <w:r>
              <w:rPr>
                <w:rFonts w:ascii="Calibri" w:hAnsi="Calibri"/>
                <w:sz w:val="15"/>
              </w:rPr>
              <w:t>1.0</w:t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Emisión: </w:t>
            </w:r>
            <w:r>
              <w:rPr>
                <w:rFonts w:ascii="Calibri" w:hAnsi="Calibri"/>
                <w:sz w:val="15"/>
              </w:rPr>
              <w:t>Septiembre 2026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Revisión: </w:t>
            </w:r>
            <w:r>
              <w:rPr>
                <w:rFonts w:ascii="Calibri" w:hAnsi="Calibri"/>
                <w:sz w:val="15"/>
              </w:rPr>
              <w:t>Diciembre 2026</w:t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6"/>
              </w:rPr>
              <w:t>Procedimiento Comercial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Estado: </w:t>
            </w:r>
            <w:r>
              <w:rPr>
                <w:rFonts w:ascii="Calibri" w:hAnsi="Calibri"/>
                <w:sz w:val="15"/>
              </w:rPr>
              <w:t>Borrador para validación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Página: </w:t>
            </w:r>
            <w:r>
              <w:rPr>
                <w:rFonts w:ascii="Calibri" w:hAnsi="Calibri"/>
                <w:sz w:val="15"/>
              </w:rPr>
              <w:fldChar w:fldCharType="begin"/>
            </w:r>
            <w:r>
              <w:rPr>
                <w:rFonts w:ascii="Calibri" w:hAnsi="Calibri"/>
                <w:sz w:val="15"/>
              </w:rPr>
              <w:instrText xml:space="preserve"> PAGE </w:instrText>
            </w:r>
            <w:r>
              <w:fldChar w:fldCharType="separate"/>
            </w:r>
            <w:r>
              <w:rPr>
                <w:rFonts w:ascii="Calibri" w:hAnsi="Calibri"/>
                <w:sz w:val="15"/>
              </w:rPr>
              <w:t>1</w:t>
            </w:r>
            <w:r>
              <w:fldChar w:fldCharType="end"/>
            </w:r>
            <w:r>
              <w:rPr>
                <w:rFonts w:ascii="Calibri" w:hAnsi="Calibri"/>
                <w:sz w:val="15"/>
              </w:rPr>
              <w:t xml:space="preserve"> de </w:t>
            </w:r>
            <w:r>
              <w:rPr>
                <w:rFonts w:ascii="Calibri" w:hAnsi="Calibri"/>
                <w:sz w:val="15"/>
              </w:rPr>
              <w:fldChar w:fldCharType="begin"/>
            </w:r>
            <w:r>
              <w:rPr>
                <w:rFonts w:ascii="Calibri" w:hAnsi="Calibri"/>
                <w:sz w:val="15"/>
              </w:rPr>
              <w:instrText xml:space="preserve"> NUMPAGES </w:instrText>
            </w:r>
            <w:r>
              <w:fldChar w:fldCharType="separate"/>
            </w:r>
            <w:r>
              <w:rPr>
                <w:rFonts w:ascii="Calibri" w:hAnsi="Calibri"/>
                <w:sz w:val="15"/>
              </w:rPr>
              <w:t>1</w:t>
            </w:r>
            <w:r>
              <w:fldChar w:fldCharType="end"/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6"/>
              </w:rPr>
              <w:t>Cláusula ISO 9001: 8.2.1, 8.2.2, 8.2.3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Propietario: </w:t>
            </w:r>
            <w:r>
              <w:rPr>
                <w:rFonts w:ascii="Calibri" w:hAnsi="Calibri"/>
                <w:sz w:val="15"/>
              </w:rPr>
              <w:t>Gerencia Comercial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Elaboró: </w:t>
            </w:r>
            <w:r>
              <w:rPr>
                <w:rFonts w:ascii="Calibri" w:hAnsi="Calibri"/>
                <w:sz w:val="15"/>
              </w:rPr>
              <w:t>DETA Consultores</w:t>
            </w:r>
          </w:p>
        </w:tc>
      </w:tr>
    </w:tbl>
    <w:p>
      <w:pPr>
        <w:spacing w:before="40" w:after="160"/>
        <w:pBdr>
          <w:bottom w:val="single" w:sz="18" w:color="F0E528"/>
        </w:pBdr>
      </w:pP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0E528"/>
        </w:tblBorders>
      </w:tblPr>
      <w:tblGrid>
        <w:gridCol w:w="10200"/>
      </w:tblGrid>
      <w:tr>
        <w:tc>
          <w:tcPr>
            <w:tcW w:type="dxa" w:w="10200"/>
            <w:shd w:val="clear" w:fill="FFF9DB"/>
          </w:tcPr>
          <w:p>
            <w:r/>
            <w:r>
              <w:rPr>
                <w:rFonts w:ascii="Calibri" w:hAnsi="Calibri"/>
                <w:b w:val="0"/>
                <w:color w:val="003D80"/>
                <w:sz w:val="17"/>
              </w:rPr>
              <w:t>Importante: Este procedimiento cubre solo cuentas clave y proyectos de alto valor (industrial y licitaciones). El Especialista de Producto escala al Ejecutivo de Cuentas Estratégicas los leads con potencial de cuenta clave.</w:t>
            </w:r>
          </w:p>
        </w:tc>
      </w:tr>
    </w:tbl>
    <w:p>
      <w:pPr>
        <w:spacing w:after="40"/>
      </w:pP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1. OBJETIVO</w:t>
      </w:r>
    </w:p>
    <w:p>
      <w:pPr>
        <w:spacing w:after="120"/>
      </w:pPr>
      <w:r>
        <w:rPr>
          <w:rFonts w:ascii="Calibri" w:hAnsi="Calibri"/>
          <w:color w:val="1C242E"/>
          <w:sz w:val="21"/>
        </w:rPr>
        <w:t>Estandarizar la gestión de cuentas estratégicas y proyectos industriales o de licitación, desde la prospección de alto valor hasta el cierre con condiciones especiales, coordinando la propuesta técnica de soluciones complejas.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2. ALCANCE</w:t>
      </w:r>
    </w:p>
    <w:p>
      <w:pPr>
        <w:spacing w:after="120"/>
      </w:pPr>
      <w:r>
        <w:rPr>
          <w:rFonts w:ascii="Calibri" w:hAnsi="Calibri"/>
          <w:color w:val="1C242E"/>
          <w:sz w:val="21"/>
        </w:rPr>
        <w:t>Aplica a cuentas clave y proyectos de alto valor, incluidos los industriales y de licitación que, cuando lo requieren, involucran verificación por perito UVIE o UI. Cubre desde la calificación de la cuenta hasta la formalización del contrato y la expansión.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3. DEFINICIONES Y ABREVIATURAS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2856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Término</w:t>
            </w:r>
          </w:p>
        </w:tc>
        <w:tc>
          <w:tcPr>
            <w:tcW w:type="dxa" w:w="734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Definición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Cuenta estratégica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Cliente clave o proyecto de alto valor que requiere gestión especializada.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UVIE / UI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Unidad de Verificación de Instalaciones Eléctricas: tercero acreditado que verifica que la instalación cumple la normativa (NOM-001-SEDE), a través de un perito.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Plan de cuenta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Estrategia de desarrollo y relacionamiento de una cuenta clave.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4. DOCUMENTOS DE REFERENCIA</w:t>
      </w:r>
    </w:p>
    <w:p>
      <w:pPr>
        <w:pStyle w:val="ListBullet"/>
      </w:pPr>
      <w:r>
        <w:rPr>
          <w:rFonts w:ascii="Calibri" w:hAnsi="Calibri"/>
          <w:sz w:val="20"/>
        </w:rPr>
        <w:t>ISO 9001:2015 cláusulas 8.2.1 (comunicación con el cliente), 8.2.2 (determinación de los requisitos) y 8.2.3 (revisión de los requisitos)</w:t>
      </w:r>
    </w:p>
    <w:p>
      <w:pPr>
        <w:pStyle w:val="ListBullet"/>
      </w:pPr>
      <w:r>
        <w:rPr>
          <w:rFonts w:ascii="Calibri" w:hAnsi="Calibri"/>
          <w:sz w:val="20"/>
        </w:rPr>
        <w:t>POL-VEN-001 Políticas Comerciales</w:t>
      </w:r>
    </w:p>
    <w:p>
      <w:pPr>
        <w:pStyle w:val="ListBullet"/>
      </w:pPr>
      <w:r>
        <w:rPr>
          <w:rFonts w:ascii="Calibri" w:hAnsi="Calibri"/>
          <w:sz w:val="20"/>
        </w:rPr>
        <w:t>CON-MER-001 Contrato mercantil</w:t>
      </w:r>
    </w:p>
    <w:p>
      <w:pPr>
        <w:pStyle w:val="ListBullet"/>
      </w:pPr>
      <w:r>
        <w:rPr>
          <w:rFonts w:ascii="Calibri" w:hAnsi="Calibri"/>
          <w:sz w:val="20"/>
        </w:rPr>
        <w:t>PRO-ING-03 Diseño Eléctrico y Render 3D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5. RESPONSABILIDADES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3060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7140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Funciones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Ejecutivo de Cuentas Estratégicas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Identificar y calificar cuentas de alto valor  ·  Elaborar el plan de cuenta  ·  Negociar y formalizar el contrato  ·  Gestionar la recompra y la expansión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Ingeniería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Coordinar la propuesta técnica y la verificación del perito UVIE o UI cuando aplica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Gerencia Comercial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Autorizar las condiciones especiales de las cuentas estratégicas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6. POLÍTICAS Y LINEAMIENTOS</w:t>
      </w:r>
    </w:p>
    <w:p>
      <w:pPr>
        <w:spacing w:after="100"/>
      </w:pPr>
      <w:r>
        <w:rPr>
          <w:b/>
          <w:color w:val="0056B4"/>
          <w:sz w:val="20"/>
        </w:rPr>
        <w:t xml:space="preserve">Solo alto valor. </w:t>
      </w:r>
      <w:r>
        <w:rPr>
          <w:rFonts w:ascii="Calibri" w:hAnsi="Calibri"/>
          <w:sz w:val="20"/>
        </w:rPr>
        <w:t>El procedimiento aplica solo a cuentas clave y proyectos de alto valor; la prospección masiva se atiende por el flujo estándar.</w:t>
      </w:r>
    </w:p>
    <w:p>
      <w:pPr>
        <w:spacing w:after="100"/>
      </w:pPr>
      <w:r>
        <w:rPr>
          <w:b/>
          <w:color w:val="0056B4"/>
          <w:sz w:val="20"/>
        </w:rPr>
        <w:t xml:space="preserve">Escalamiento de leads. </w:t>
      </w:r>
      <w:r>
        <w:rPr>
          <w:rFonts w:ascii="Calibri" w:hAnsi="Calibri"/>
          <w:sz w:val="20"/>
        </w:rPr>
        <w:t>El Especialista de Producto escala al Ejecutivo de Cuentas Estratégicas los leads con potencial de cuenta clave.</w:t>
      </w:r>
    </w:p>
    <w:p>
      <w:pPr>
        <w:spacing w:after="100"/>
      </w:pPr>
      <w:r>
        <w:rPr>
          <w:b/>
          <w:color w:val="0056B4"/>
          <w:sz w:val="20"/>
        </w:rPr>
        <w:t xml:space="preserve">Coordinación técnica. </w:t>
      </w:r>
      <w:r>
        <w:rPr>
          <w:rFonts w:ascii="Calibri" w:hAnsi="Calibri"/>
          <w:sz w:val="20"/>
        </w:rPr>
        <w:t>Las propuestas complejas se coordinan con Ingeniería y, cuando el proyecto lo requiere, con verificación de perito UVIE o UI.</w:t>
      </w:r>
    </w:p>
    <w:p>
      <w:pPr>
        <w:spacing w:after="100"/>
      </w:pPr>
      <w:r>
        <w:rPr>
          <w:b/>
          <w:color w:val="0056B4"/>
          <w:sz w:val="20"/>
        </w:rPr>
        <w:t xml:space="preserve">Cobertura geográfica. </w:t>
      </w:r>
      <w:r>
        <w:rPr>
          <w:rFonts w:ascii="Calibri" w:hAnsi="Calibri"/>
          <w:sz w:val="20"/>
        </w:rPr>
        <w:t>Los proyectos de 40 paneles en adelante pueden comprometerse fuera de Chihuahua y Ciudad Juárez sin autorización adicional; otras extensiones se escalan a Gerencia Comercial y Gerencia Administrativa.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7. DESARROLLO DEL PROCEDIMIENTO</w:t>
      </w:r>
    </w:p>
    <w:p>
      <w:pPr>
        <w:spacing w:after="80"/>
      </w:pPr>
      <w:r>
        <w:rPr>
          <w:rFonts w:ascii="Calibri" w:hAnsi="Calibri"/>
          <w:color w:val="1C242E"/>
          <w:sz w:val="20"/>
        </w:rPr>
        <w:t>El procedimiento se desarrolla en fases secuenciales. Cada paso identifica al responsable y, cuando aplica, el registro que debe generarse.</w:t>
      </w:r>
    </w:p>
    <w:p>
      <w:pPr>
        <w:spacing w:before="160" w:after="60"/>
      </w:pPr>
      <w:r>
        <w:rPr>
          <w:b/>
          <w:color w:val="1C242E"/>
          <w:sz w:val="21"/>
        </w:rPr>
        <w:t>Fase 1. Prospección de alto valor</w:t>
      </w:r>
    </w:p>
    <w:p>
      <w:pPr>
        <w:spacing w:after="60"/>
        <w:ind w:left="340"/>
      </w:pPr>
      <w:r>
        <w:rPr>
          <w:b/>
          <w:sz w:val="20"/>
        </w:rPr>
        <w:t xml:space="preserve">1. Identificar y calificar la cuenta </w:t>
      </w:r>
      <w:r>
        <w:rPr>
          <w:rFonts w:ascii="Calibri" w:hAnsi="Calibri"/>
          <w:sz w:val="20"/>
        </w:rPr>
        <w:t>· Detectar cuentas clave y proyectos de alto valor y calificar su potencial.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Ejecutivo de Cuentas Estratégicas</w:t>
      </w:r>
    </w:p>
    <w:p>
      <w:pPr>
        <w:spacing w:after="60"/>
        <w:ind w:left="340"/>
      </w:pPr>
      <w:r>
        <w:rPr>
          <w:b/>
          <w:sz w:val="20"/>
        </w:rPr>
        <w:t xml:space="preserve">2. Elaborar el plan de cuenta </w:t>
      </w:r>
      <w:r>
        <w:rPr>
          <w:rFonts w:ascii="Calibri" w:hAnsi="Calibri"/>
          <w:sz w:val="20"/>
        </w:rPr>
        <w:t>· Definir la estrategia de contacto con los decisores y el plan de desarrollo.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Ejecutivo de Cuentas Estratégicas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Registro: </w:t>
      </w:r>
      <w:r>
        <w:rPr>
          <w:rFonts w:ascii="Calibri" w:hAnsi="Calibri"/>
          <w:color w:val="595959"/>
          <w:sz w:val="18"/>
        </w:rPr>
        <w:t>Plan de cuenta</w:t>
      </w:r>
    </w:p>
    <w:p>
      <w:pPr>
        <w:spacing w:before="160" w:after="60"/>
      </w:pPr>
      <w:r>
        <w:rPr>
          <w:b/>
          <w:color w:val="1C242E"/>
          <w:sz w:val="21"/>
        </w:rPr>
        <w:t>Fase 2. Propuesta técnica</w:t>
      </w:r>
    </w:p>
    <w:p>
      <w:pPr>
        <w:spacing w:after="60"/>
        <w:ind w:left="340"/>
      </w:pPr>
      <w:r>
        <w:rPr>
          <w:b/>
          <w:sz w:val="20"/>
        </w:rPr>
        <w:t xml:space="preserve">3. Coordinar la propuesta compleja </w:t>
      </w:r>
      <w:r>
        <w:rPr>
          <w:rFonts w:ascii="Calibri" w:hAnsi="Calibri"/>
          <w:sz w:val="20"/>
        </w:rPr>
        <w:t>· Coordinar con Ingeniería la solución técnica y, cuando el proyecto lo requiere, la verificación del perito UVIE o UI.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Ejecutivo de Cuentas Estratégicas</w:t>
      </w:r>
    </w:p>
    <w:p>
      <w:pPr>
        <w:spacing w:before="160" w:after="60"/>
      </w:pPr>
      <w:r>
        <w:rPr>
          <w:b/>
          <w:color w:val="1C242E"/>
          <w:sz w:val="21"/>
        </w:rPr>
        <w:t>Fase 3. Cierre y expansión</w:t>
      </w:r>
    </w:p>
    <w:p>
      <w:pPr>
        <w:spacing w:after="60"/>
        <w:ind w:left="340"/>
      </w:pPr>
      <w:r>
        <w:rPr>
          <w:b/>
          <w:sz w:val="20"/>
        </w:rPr>
        <w:t xml:space="preserve">4. Negociar y formalizar </w:t>
      </w:r>
      <w:r>
        <w:rPr>
          <w:rFonts w:ascii="Calibri" w:hAnsi="Calibri"/>
          <w:sz w:val="20"/>
        </w:rPr>
        <w:t>· Negociar bajo las directrices de Gerencia Comercial y formalizar el contrato de largo plazo (CON-MER-001).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Ejecutivo de Cuentas Estratégicas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Registro: </w:t>
      </w:r>
      <w:r>
        <w:rPr>
          <w:rFonts w:ascii="Calibri" w:hAnsi="Calibri"/>
          <w:color w:val="595959"/>
          <w:sz w:val="18"/>
        </w:rPr>
        <w:t>Contrato formalizado (CON-MER-001)</w:t>
      </w:r>
    </w:p>
    <w:p>
      <w:pPr>
        <w:spacing w:after="60"/>
        <w:ind w:left="340"/>
      </w:pPr>
      <w:r>
        <w:rPr>
          <w:b/>
          <w:sz w:val="20"/>
        </w:rPr>
        <w:t xml:space="preserve">5. Relacionar y expandir </w:t>
      </w:r>
      <w:r>
        <w:rPr>
          <w:rFonts w:ascii="Calibri" w:hAnsi="Calibri"/>
          <w:sz w:val="20"/>
        </w:rPr>
        <w:t>· Gestionar la recompra y la ampliación de la cuenta.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Ejecutivo de Cuentas Estratégicas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Control: </w:t>
      </w:r>
      <w:r>
        <w:rPr>
          <w:rFonts w:ascii="Calibri" w:hAnsi="Calibri"/>
          <w:color w:val="595959"/>
          <w:sz w:val="18"/>
        </w:rPr>
        <w:t>Plan de expansión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8. DIAGRAMA DE FLUJO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984748" cy="684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-ven-06-cuenta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84748" cy="68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595959"/>
          <w:sz w:val="17"/>
        </w:rPr>
        <w:t>De la calificación de la cuenta a la formalización y la expansión.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9. REGISTROS Y FORMATOS ASOCIADOS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2856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Código</w:t>
            </w:r>
          </w:p>
        </w:tc>
        <w:tc>
          <w:tcPr>
            <w:tcW w:type="dxa" w:w="734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Formato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Plan de cuenta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Plan de cuenta estratégica (formato por desarrollar)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CON-MER-001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Contrato mercantil de cuenta estratégica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10. CONTROL DE CAMBIOS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22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Versión</w:t>
            </w:r>
          </w:p>
        </w:tc>
        <w:tc>
          <w:tcPr>
            <w:tcW w:type="dxa" w:w="163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Fecha</w:t>
            </w:r>
          </w:p>
        </w:tc>
        <w:tc>
          <w:tcPr>
            <w:tcW w:type="dxa" w:w="571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Descripción del cambio</w:t>
            </w:r>
          </w:p>
        </w:tc>
        <w:tc>
          <w:tcPr>
            <w:tcW w:type="dxa" w:w="163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Elaboró</w:t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Calibri" w:hAnsi="Calibri"/>
                <w:b w:val="0"/>
                <w:sz w:val="19"/>
              </w:rPr>
              <w:t>1.0</w:t>
            </w:r>
          </w:p>
        </w:tc>
        <w:tc>
          <w:tcPr>
            <w:tcW w:type="dxa" w:w="1632"/>
          </w:tcPr>
          <w:p>
            <w:r/>
            <w:r>
              <w:rPr>
                <w:rFonts w:ascii="Calibri" w:hAnsi="Calibri"/>
                <w:b w:val="0"/>
                <w:sz w:val="19"/>
              </w:rPr>
              <w:t>Septiembre 2026</w:t>
            </w:r>
          </w:p>
        </w:tc>
        <w:tc>
          <w:tcPr>
            <w:tcW w:type="dxa" w:w="5712"/>
          </w:tcPr>
          <w:p>
            <w:r/>
            <w:r>
              <w:rPr>
                <w:rFonts w:ascii="Calibri" w:hAnsi="Calibri"/>
                <w:b w:val="0"/>
                <w:sz w:val="19"/>
              </w:rPr>
              <w:t>Emisión inicial a partir del perfil de Cuentas Estratégicas y las Políticas Comerciales. Revisión trimestral.</w:t>
            </w:r>
          </w:p>
        </w:tc>
        <w:tc>
          <w:tcPr>
            <w:tcW w:type="dxa" w:w="1632"/>
          </w:tcPr>
          <w:p>
            <w:r/>
            <w:r>
              <w:rPr>
                <w:rFonts w:ascii="Calibri" w:hAnsi="Calibri"/>
                <w:b w:val="0"/>
                <w:sz w:val="19"/>
              </w:rPr>
              <w:t>DETA Consultores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11. CONTROL DE FIRMAS</w:t>
      </w:r>
    </w:p>
    <w:p>
      <w:pPr>
        <w:spacing w:after="120"/>
      </w:pPr>
    </w:p>
    <w:p>
      <w:pPr>
        <w:keepNext/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Elaboró</w:t>
              <w:br/>
              <w:t>DETA Consultores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Revisó</w:t>
              <w:br/>
              <w:t>Gerencia Comercial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Aprobó</w:t>
              <w:br/>
              <w:t>Dirección General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SolarPro · Procedimiento Comercial · PRO-VEN-06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