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3785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85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Postventa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Determinación de Garantía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FOR-PVM-04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02-09-2026</w:t>
            </w:r>
          </w:p>
        </w:tc>
      </w:tr>
    </w:tbl>
    <w:p>
      <w:pPr>
        <w:spacing w:before="40" w:after="120"/>
        <w:pBdr>
          <w:bottom w:val="single" w:sz="18" w:color="F0E528"/>
        </w:pBdr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Cobertura: SolarPro cubre 2 años por la instalación y el proveedor cubre 5 años por el equipo. Esta determinación aplica el criterio documentado de garantía contra cobro.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01 · DATOS DEL CASO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Folio del ticket: </w:t>
            </w:r>
            <w:r>
              <w:rPr>
                <w:sz w:val="20"/>
              </w:rPr>
              <w:t>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Fecha: </w:t>
            </w:r>
            <w:r>
              <w:rPr>
                <w:sz w:val="20"/>
              </w:rPr>
              <w:t>_____________________________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Nombre de registro del cliente: </w:t>
      </w:r>
      <w:r>
        <w:rPr>
          <w:sz w:val="20"/>
        </w:rPr>
        <w:t>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instalación: </w:t>
            </w:r>
            <w:r>
              <w:rPr>
                <w:sz w:val="20"/>
              </w:rPr>
              <w:t>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encendido: </w:t>
            </w:r>
            <w:r>
              <w:rPr>
                <w:sz w:val="20"/>
              </w:rPr>
              <w:t>________________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02 · ELEMENTOS ANALIZADOS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Inversor o inversores</w:t>
            </w:r>
          </w:p>
          <w:p>
            <w:r>
              <w:rPr>
                <w:sz w:val="20"/>
              </w:rPr>
              <w:t>☐  Cableado y conexiones</w:t>
            </w:r>
          </w:p>
          <w:p>
            <w:r>
              <w:rPr>
                <w:sz w:val="20"/>
              </w:rPr>
              <w:t>☐  Pastillas termomagnéticas</w:t>
            </w:r>
          </w:p>
          <w:p>
            <w:r>
              <w:rPr>
                <w:sz w:val="20"/>
              </w:rPr>
              <w:t>☐  Medidor CFE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Estructura</w:t>
            </w:r>
          </w:p>
          <w:p>
            <w:r>
              <w:rPr>
                <w:sz w:val="20"/>
              </w:rPr>
              <w:t>☐  Paneles</w:t>
            </w:r>
          </w:p>
          <w:p>
            <w:r>
              <w:rPr>
                <w:sz w:val="20"/>
              </w:rPr>
              <w:t>☐  Monitoreo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03 · DETERMINACIÓN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400"/>
        <w:gridCol w:w="3400"/>
        <w:gridCol w:w="3400"/>
      </w:tblGrid>
      <w:tr>
        <w:tc>
          <w:tcPr>
            <w:tcW w:type="dxa" w:w="571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Cobertura</w:t>
            </w:r>
          </w:p>
        </w:tc>
        <w:tc>
          <w:tcPr>
            <w:tcW w:type="dxa" w:w="244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Vigencia</w:t>
            </w:r>
          </w:p>
        </w:tc>
        <w:tc>
          <w:tcPr>
            <w:tcW w:type="dxa" w:w="204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Aplica</w:t>
            </w:r>
          </w:p>
        </w:tc>
      </w:tr>
      <w:tr>
        <w:tc>
          <w:tcPr>
            <w:tcW w:type="dxa" w:w="5712"/>
          </w:tcPr>
          <w:p>
            <w:r/>
            <w:r>
              <w:rPr>
                <w:rFonts w:ascii="Calibri" w:hAnsi="Calibri"/>
                <w:b w:val="0"/>
                <w:sz w:val="19"/>
              </w:rPr>
              <w:t>Garantía SolarPro (instalación)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2 años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712"/>
          </w:tcPr>
          <w:p>
            <w:r/>
            <w:r>
              <w:rPr>
                <w:rFonts w:ascii="Calibri" w:hAnsi="Calibri"/>
                <w:b w:val="0"/>
                <w:sz w:val="19"/>
              </w:rPr>
              <w:t>Garantía del proveedor (equipo)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5 años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712"/>
          </w:tcPr>
          <w:p>
            <w:r/>
            <w:r>
              <w:rPr>
                <w:rFonts w:ascii="Calibri" w:hAnsi="Calibri"/>
                <w:b w:val="0"/>
                <w:sz w:val="19"/>
              </w:rPr>
              <w:t>Fuera de garantía (servicio con cobro)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/>
                <w:b w:val="0"/>
                <w:sz w:val="19"/>
              </w:rPr>
              <w:t>No aplica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04 · JUSTIFICACIÓN</w:t>
      </w:r>
    </w:p>
    <w:p>
      <w:pPr>
        <w:spacing w:after="120"/>
      </w:pPr>
      <w:r>
        <w:rPr>
          <w:b/>
          <w:sz w:val="20"/>
        </w:rPr>
        <w:t xml:space="preserve">Justificación de la determinación: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05 · SI APLICA SERVICIO CON COBRO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Concepto: </w:t>
            </w:r>
            <w:r>
              <w:rPr>
                <w:sz w:val="20"/>
              </w:rPr>
              <w:t>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Monto estimado: </w:t>
            </w:r>
            <w:r>
              <w:rPr>
                <w:sz w:val="20"/>
              </w:rPr>
              <w:t>____________________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Observaciones: </w:t>
      </w:r>
      <w:r>
        <w:rPr>
          <w:sz w:val="20"/>
        </w:rPr>
        <w:t>______________________________________________________________________________</w:t>
      </w: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Determinó · Postventa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Autorizó · Coordinación de Postventa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Formato de Postventa · FOR-PVM-04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