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Plan de Difusión y Toma de Conciencia</w:t>
      </w:r>
    </w:p>
    <w:p>
      <w:pPr>
        <w:jc w:val="center"/>
      </w:pPr>
      <w:r>
        <w:rPr>
          <w:color w:val="F0E528"/>
          <w:sz w:val="24"/>
        </w:rPr>
        <w:t>________</w:t>
      </w:r>
    </w:p>
    <w:p>
      <w:pPr>
        <w:jc w:val="center"/>
      </w:pPr>
      <w:r>
        <w:rPr>
          <w:rFonts w:ascii="Georgia" w:hAnsi="Georgia"/>
          <w:i/>
          <w:color w:val="595959"/>
          <w:sz w:val="26"/>
        </w:rPr>
        <w:t>Difusión de la Política de Calidad y toma de conciencia del personal</w:t>
      </w:r>
    </w:p>
    <w:p>
      <w:pPr>
        <w:spacing w:before="600"/>
        <w:jc w:val="center"/>
      </w:pPr>
      <w:r>
        <w:rPr>
          <w:b/>
          <w:color w:val="1C242E"/>
          <w:sz w:val="22"/>
        </w:rPr>
        <w:t>Soluciones Energéticas JEA S.A. de C.V. (SolarPro)</w:t>
      </w:r>
    </w:p>
    <w:p>
      <w:pPr>
        <w:jc w:val="center"/>
      </w:pPr>
      <w:r>
        <w:rPr>
          <w:color w:val="595959"/>
          <w:sz w:val="20"/>
        </w:rPr>
        <w:t>DIF-POL-001  ·  Versión 1  ·  08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DIF-POL-001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08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Chihuahua (matriz) y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08 de septiembre de 2026</w:t>
            </w:r>
          </w:p>
        </w:tc>
        <w:tc>
          <w:tcPr>
            <w:tcW w:type="dxa" w:w="5584"/>
          </w:tcPr>
          <w:p>
            <w:r/>
            <w:r>
              <w:rPr>
                <w:rFonts w:ascii="Calibri" w:hAnsi="Calibri"/>
                <w:b w:val="0"/>
                <w:sz w:val="19"/>
              </w:rPr>
              <w:t>Emisión inicial.</w:t>
            </w:r>
          </w:p>
        </w:tc>
        <w:tc>
          <w:tcPr>
            <w:tcW w:type="dxa" w:w="1596"/>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Objetivo y alcance</w:t>
      </w:r>
    </w:p>
    <w:p>
      <w:pPr>
        <w:spacing w:after="40"/>
      </w:pPr>
      <w:r>
        <w:rPr>
          <w:rFonts w:ascii="Calibri" w:hAnsi="Calibri"/>
          <w:color w:val="1C242E"/>
          <w:sz w:val="20"/>
        </w:rPr>
        <w:t>2. Marco normativo</w:t>
      </w:r>
    </w:p>
    <w:p>
      <w:pPr>
        <w:spacing w:after="40"/>
      </w:pPr>
      <w:r>
        <w:rPr>
          <w:rFonts w:ascii="Calibri" w:hAnsi="Calibri"/>
          <w:color w:val="1C242E"/>
          <w:sz w:val="20"/>
        </w:rPr>
        <w:t>3. Política de Calidad a difundir</w:t>
      </w:r>
    </w:p>
    <w:p>
      <w:pPr>
        <w:spacing w:after="40"/>
      </w:pPr>
      <w:r>
        <w:rPr>
          <w:rFonts w:ascii="Calibri" w:hAnsi="Calibri"/>
          <w:color w:val="1C242E"/>
          <w:sz w:val="20"/>
        </w:rPr>
        <w:t>4. Medios de difusión</w:t>
      </w:r>
    </w:p>
    <w:p>
      <w:pPr>
        <w:spacing w:after="40"/>
      </w:pPr>
      <w:r>
        <w:rPr>
          <w:rFonts w:ascii="Calibri" w:hAnsi="Calibri"/>
          <w:color w:val="1C242E"/>
          <w:sz w:val="20"/>
        </w:rPr>
        <w:t>5. Mensajes clave</w:t>
      </w:r>
    </w:p>
    <w:p>
      <w:pPr>
        <w:spacing w:after="40"/>
      </w:pPr>
      <w:r>
        <w:rPr>
          <w:rFonts w:ascii="Calibri" w:hAnsi="Calibri"/>
          <w:color w:val="1C242E"/>
          <w:sz w:val="20"/>
        </w:rPr>
        <w:t>6. Sesión de toma de conciencia</w:t>
      </w:r>
    </w:p>
    <w:p>
      <w:pPr>
        <w:spacing w:after="40"/>
      </w:pPr>
      <w:r>
        <w:rPr>
          <w:rFonts w:ascii="Calibri" w:hAnsi="Calibri"/>
          <w:color w:val="1C242E"/>
          <w:sz w:val="20"/>
        </w:rPr>
        <w:t>7. Responsables</w:t>
      </w:r>
    </w:p>
    <w:p>
      <w:pPr>
        <w:spacing w:after="40"/>
      </w:pPr>
      <w:r>
        <w:rPr>
          <w:rFonts w:ascii="Calibri" w:hAnsi="Calibri"/>
          <w:color w:val="1C242E"/>
          <w:sz w:val="20"/>
        </w:rPr>
        <w:t>8. Evidencia esperada y registros</w:t>
      </w:r>
    </w:p>
    <w:p>
      <w:pPr>
        <w:spacing w:after="40"/>
      </w:pPr>
      <w:r>
        <w:rPr>
          <w:rFonts w:ascii="Calibri" w:hAnsi="Calibri"/>
          <w:color w:val="1C242E"/>
          <w:sz w:val="20"/>
        </w:rPr>
        <w:t>9. Seguimiento y actualización</w:t>
      </w:r>
    </w:p>
    <w:p>
      <w:r>
        <w:br w:type="page"/>
      </w:r>
    </w:p>
    <w:p>
      <w:pPr>
        <w:keepNext/>
        <w:spacing w:before="280" w:after="80"/>
        <w:pBdr>
          <w:bottom w:val="single" w:sz="8" w:color="F0E528"/>
        </w:pBdr>
      </w:pPr>
      <w:r>
        <w:rPr>
          <w:rFonts w:ascii="Georgia" w:hAnsi="Georgia"/>
          <w:b/>
          <w:color w:val="0056B4"/>
          <w:sz w:val="26"/>
        </w:rPr>
        <w:t>1. Objetivo y alcance</w:t>
      </w:r>
    </w:p>
    <w:p>
      <w:pPr>
        <w:spacing w:after="120"/>
      </w:pPr>
      <w:r>
        <w:rPr>
          <w:rFonts w:ascii="Calibri" w:hAnsi="Calibri"/>
          <w:color w:val="1C242E"/>
          <w:sz w:val="21"/>
        </w:rPr>
        <w:t>Asegurar que la Política de Calidad de SolarPro se comunique, se entienda y esté disponible para las partes interesadas pertinentes, conforme a la cláusula 5.2.2 de la norma ISO 9001:2015, y que el personal tome conciencia de la política, de los objetivos de calidad, de su contribución a la eficacia del Sistema de Gestión de Calidad y de las consecuencias de no cumplir los requisitos, conforme a la cláusula 7.3 de la misma norma.</w:t>
      </w:r>
    </w:p>
    <w:p>
      <w:pPr>
        <w:spacing w:after="120"/>
      </w:pPr>
      <w:r>
        <w:rPr>
          <w:rFonts w:ascii="Calibri" w:hAnsi="Calibri"/>
          <w:color w:val="1C242E"/>
          <w:sz w:val="21"/>
        </w:rPr>
        <w:t>Aplica a todo el personal de SolarPro en la matriz de Chihuahua y en la operación de Ciudad Juárez: personal de oficina, equipo técnico de instalación y encendido, y cuadrillas externas mientras prestan servicio para SolarPro.</w:t>
      </w:r>
    </w:p>
    <w:p>
      <w:pPr>
        <w:spacing w:after="120"/>
      </w:pPr>
      <w:r>
        <w:rPr>
          <w:rFonts w:ascii="Calibri" w:hAnsi="Calibri"/>
          <w:color w:val="1C242E"/>
          <w:sz w:val="21"/>
        </w:rPr>
        <w:t>La difusión activa que describen las secciones 4 a 8 se dirige al personal interno. Para las partes interesadas externas pertinentes, en particular los clientes y los procesos de licitación que exigen ISO, la Política de Calidad se pone a disposición a solicitud, a través del hub o por correo, por la Gerencia Administrativa, conforme al inciso c de la cláusula 5.2.2.</w:t>
      </w:r>
    </w:p>
    <w:p>
      <w:pPr>
        <w:keepNext/>
        <w:spacing w:before="280" w:after="80"/>
        <w:pBdr>
          <w:bottom w:val="single" w:sz="8" w:color="F0E528"/>
        </w:pBdr>
      </w:pPr>
      <w:r>
        <w:rPr>
          <w:rFonts w:ascii="Georgia" w:hAnsi="Georgia"/>
          <w:b/>
          <w:color w:val="0056B4"/>
          <w:sz w:val="26"/>
        </w:rPr>
        <w:t>2. Marco normativo</w:t>
      </w:r>
    </w:p>
    <w:p>
      <w:pPr>
        <w:spacing w:after="120"/>
      </w:pPr>
      <w:r>
        <w:rPr>
          <w:rFonts w:ascii="Calibri" w:hAnsi="Calibri"/>
          <w:color w:val="1C242E"/>
          <w:sz w:val="21"/>
        </w:rPr>
        <w:t>Este plan da cumplimiento a los siguientes requisitos:</w:t>
      </w:r>
    </w:p>
    <w:p>
      <w:pPr>
        <w:pStyle w:val="ListBullet"/>
      </w:pPr>
      <w:r>
        <w:rPr>
          <w:rFonts w:ascii="Calibri" w:hAnsi="Calibri"/>
          <w:sz w:val="20"/>
        </w:rPr>
        <w:t>ISO 9001:2015, cláusula 5.2.2, comunicación de la política de la calidad.</w:t>
      </w:r>
    </w:p>
    <w:p>
      <w:pPr>
        <w:pStyle w:val="ListBullet"/>
      </w:pPr>
      <w:r>
        <w:rPr>
          <w:rFonts w:ascii="Calibri" w:hAnsi="Calibri"/>
          <w:sz w:val="20"/>
        </w:rPr>
        <w:t>ISO 9001:2015, cláusula 7.3, toma de conciencia.</w:t>
      </w:r>
    </w:p>
    <w:p>
      <w:pPr>
        <w:pStyle w:val="ListBullet"/>
      </w:pPr>
      <w:r>
        <w:rPr>
          <w:rFonts w:ascii="Calibri" w:hAnsi="Calibri"/>
          <w:sz w:val="20"/>
        </w:rPr>
        <w:t>Manual de Calidad MC-SP-01, sección 5.2, Política de calidad, y sección 7.2 y 7.3, competencia y conciencia.</w:t>
      </w:r>
    </w:p>
    <w:p>
      <w:pPr>
        <w:spacing w:after="120"/>
      </w:pPr>
      <w:r>
        <w:rPr>
          <w:rFonts w:ascii="Calibri" w:hAnsi="Calibri"/>
          <w:color w:val="1C242E"/>
          <w:sz w:val="21"/>
        </w:rPr>
        <w:t>La política que se difunde es la vigente en el MC-SP-01. Este plan operacionaliza la difusión y deja la evidencia que la revisión por la dirección y las auditorías internas requieren.</w:t>
      </w:r>
    </w:p>
    <w:p>
      <w:pPr>
        <w:keepNext/>
        <w:spacing w:before="280" w:after="80"/>
        <w:pBdr>
          <w:bottom w:val="single" w:sz="8" w:color="F0E528"/>
        </w:pBdr>
      </w:pPr>
      <w:r>
        <w:rPr>
          <w:rFonts w:ascii="Georgia" w:hAnsi="Georgia"/>
          <w:b/>
          <w:color w:val="0056B4"/>
          <w:sz w:val="26"/>
        </w:rPr>
        <w:t>3. Política de Calidad a difundir</w:t>
      </w:r>
    </w:p>
    <w:p>
      <w:pPr>
        <w:spacing w:after="120"/>
      </w:pPr>
      <w:r>
        <w:rPr>
          <w:rFonts w:ascii="Calibri" w:hAnsi="Calibri"/>
          <w:color w:val="1C242E"/>
          <w:sz w:val="21"/>
        </w:rPr>
        <w:t>La política se reproduce a continuación, en su texto vigente, para su impresión y publicación:</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SolarPro se compromete a entregar a cada cliente la producción de energía y el ahorro prometidos. Para lograrlo, la dirección se compromete a: cumplir los requisitos del cliente y los requisitos legales aplicables, en particular la NOM-001-SEDE y los de CFE; asegurar la calidad técnica de cada instalación; cuidar la seguridad de su personal; cumplir los tiempos de entrega comprometidos; responder por el desempeño de los sistemas instalados; y mejorar de forma continua su Sistema de Gestión de Calidad. Esta política es el marco para establecer y revisar los objetivos de calidad y se comunica a todo el personal.</w:t>
            </w:r>
          </w:p>
        </w:tc>
      </w:tr>
    </w:tbl>
    <w:p>
      <w:pPr>
        <w:spacing w:after="40"/>
      </w:pPr>
    </w:p>
    <w:p>
      <w:pPr>
        <w:spacing w:after="120"/>
      </w:pPr>
      <w:r>
        <w:rPr>
          <w:rFonts w:ascii="Calibri" w:hAnsi="Calibri"/>
          <w:color w:val="1C242E"/>
          <w:sz w:val="21"/>
        </w:rPr>
        <w:t>El cartel impreso reproduce este texto con el logotipo de SolarPro, en tamaño carta o mayor, y se coloca en un punto visible de la oficina y en el taller.</w:t>
      </w:r>
    </w:p>
    <w:p>
      <w:pPr>
        <w:keepNext/>
        <w:spacing w:before="280" w:after="80"/>
        <w:pBdr>
          <w:bottom w:val="single" w:sz="8" w:color="F0E528"/>
        </w:pBdr>
      </w:pPr>
      <w:r>
        <w:rPr>
          <w:rFonts w:ascii="Georgia" w:hAnsi="Georgia"/>
          <w:b/>
          <w:color w:val="0056B4"/>
          <w:sz w:val="26"/>
        </w:rPr>
        <w:t>4. Medios de difusión</w:t>
      </w:r>
    </w:p>
    <w:p>
      <w:pPr>
        <w:spacing w:after="120"/>
      </w:pPr>
      <w:r>
        <w:rPr>
          <w:rFonts w:ascii="Calibri" w:hAnsi="Calibri"/>
          <w:color w:val="1C242E"/>
          <w:sz w:val="21"/>
        </w:rPr>
        <w:t>La difusión combina un medio físico permanente, un medio digital para el equipo de campo y la puesta a disposición de la política para las partes interesadas externas que la soliciten. Los medios internos son consistentes con los canales de comunicación interna del SGC descritos en la sección 7.4 del MC-SP-01, y la disponibilidad externa cubre el inciso c de la cláusula 5.2.2.</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194"/>
            <w:shd w:val="clear" w:fill="0056B4"/>
          </w:tcPr>
          <w:p>
            <w:pPr>
              <w:jc w:val="center"/>
            </w:pPr>
            <w:r/>
            <w:r>
              <w:rPr>
                <w:rFonts w:ascii="Calibri" w:hAnsi="Calibri"/>
                <w:b/>
                <w:color w:val="FFFFFF"/>
                <w:sz w:val="17"/>
              </w:rPr>
              <w:t>Medio</w:t>
            </w:r>
          </w:p>
        </w:tc>
        <w:tc>
          <w:tcPr>
            <w:tcW w:type="dxa" w:w="3091"/>
            <w:shd w:val="clear" w:fill="0056B4"/>
          </w:tcPr>
          <w:p>
            <w:pPr>
              <w:jc w:val="center"/>
            </w:pPr>
            <w:r/>
            <w:r>
              <w:rPr>
                <w:rFonts w:ascii="Calibri" w:hAnsi="Calibri"/>
                <w:b/>
                <w:color w:val="FFFFFF"/>
                <w:sz w:val="17"/>
              </w:rPr>
              <w:t>Contenido</w:t>
            </w:r>
          </w:p>
        </w:tc>
        <w:tc>
          <w:tcPr>
            <w:tcW w:type="dxa" w:w="2692"/>
            <w:shd w:val="clear" w:fill="0056B4"/>
          </w:tcPr>
          <w:p>
            <w:pPr>
              <w:jc w:val="center"/>
            </w:pPr>
            <w:r/>
            <w:r>
              <w:rPr>
                <w:rFonts w:ascii="Calibri" w:hAnsi="Calibri"/>
                <w:b/>
                <w:color w:val="FFFFFF"/>
                <w:sz w:val="17"/>
              </w:rPr>
              <w:t>Ubicación o canal</w:t>
            </w:r>
          </w:p>
        </w:tc>
        <w:tc>
          <w:tcPr>
            <w:tcW w:type="dxa" w:w="1994"/>
            <w:shd w:val="clear" w:fill="0056B4"/>
          </w:tcPr>
          <w:p>
            <w:pPr>
              <w:jc w:val="center"/>
            </w:pPr>
            <w:r/>
            <w:r>
              <w:rPr>
                <w:rFonts w:ascii="Calibri" w:hAnsi="Calibri"/>
                <w:b/>
                <w:color w:val="FFFFFF"/>
                <w:sz w:val="17"/>
              </w:rPr>
              <w:t>Responsable</w:t>
            </w:r>
          </w:p>
        </w:tc>
      </w:tr>
      <w:tr>
        <w:tc>
          <w:tcPr>
            <w:tcW w:type="dxa" w:w="2194"/>
          </w:tcPr>
          <w:p>
            <w:r/>
            <w:r>
              <w:rPr>
                <w:rFonts w:ascii="Calibri" w:hAnsi="Calibri"/>
                <w:b w:val="0"/>
                <w:sz w:val="19"/>
              </w:rPr>
              <w:t>Cartel impreso en oficina</w:t>
            </w:r>
          </w:p>
        </w:tc>
        <w:tc>
          <w:tcPr>
            <w:tcW w:type="dxa" w:w="3091"/>
          </w:tcPr>
          <w:p>
            <w:r/>
            <w:r>
              <w:rPr>
                <w:rFonts w:ascii="Calibri" w:hAnsi="Calibri"/>
                <w:b w:val="0"/>
                <w:sz w:val="19"/>
              </w:rPr>
              <w:t>Política de Calidad con logotipo de SolarPro</w:t>
            </w:r>
          </w:p>
        </w:tc>
        <w:tc>
          <w:tcPr>
            <w:tcW w:type="dxa" w:w="2692"/>
          </w:tcPr>
          <w:p>
            <w:r/>
            <w:r>
              <w:rPr>
                <w:rFonts w:ascii="Calibri" w:hAnsi="Calibri"/>
                <w:b w:val="0"/>
                <w:sz w:val="19"/>
              </w:rPr>
              <w:t>Punto visible de la oficina, en recepción o sala de juntas</w:t>
            </w:r>
          </w:p>
        </w:tc>
        <w:tc>
          <w:tcPr>
            <w:tcW w:type="dxa" w:w="1994"/>
          </w:tcPr>
          <w:p>
            <w:r/>
            <w:r>
              <w:rPr>
                <w:rFonts w:ascii="Calibri" w:hAnsi="Calibri"/>
                <w:b w:val="0"/>
                <w:sz w:val="19"/>
              </w:rPr>
              <w:t>Gerencia Administrativa</w:t>
            </w:r>
          </w:p>
        </w:tc>
      </w:tr>
      <w:tr>
        <w:tc>
          <w:tcPr>
            <w:tcW w:type="dxa" w:w="2194"/>
          </w:tcPr>
          <w:p>
            <w:r/>
            <w:r>
              <w:rPr>
                <w:rFonts w:ascii="Calibri" w:hAnsi="Calibri"/>
                <w:b w:val="0"/>
                <w:sz w:val="19"/>
              </w:rPr>
              <w:t>Cartel impreso en taller</w:t>
            </w:r>
          </w:p>
        </w:tc>
        <w:tc>
          <w:tcPr>
            <w:tcW w:type="dxa" w:w="3091"/>
          </w:tcPr>
          <w:p>
            <w:r/>
            <w:r>
              <w:rPr>
                <w:rFonts w:ascii="Calibri" w:hAnsi="Calibri"/>
                <w:b w:val="0"/>
                <w:sz w:val="19"/>
              </w:rPr>
              <w:t>Política de Calidad con logotipo de SolarPro</w:t>
            </w:r>
          </w:p>
        </w:tc>
        <w:tc>
          <w:tcPr>
            <w:tcW w:type="dxa" w:w="2692"/>
          </w:tcPr>
          <w:p>
            <w:r/>
            <w:r>
              <w:rPr>
                <w:rFonts w:ascii="Calibri" w:hAnsi="Calibri"/>
                <w:b w:val="0"/>
                <w:sz w:val="19"/>
              </w:rPr>
              <w:t>Área de taller y almacén, visible para el equipo técnico</w:t>
            </w:r>
          </w:p>
        </w:tc>
        <w:tc>
          <w:tcPr>
            <w:tcW w:type="dxa" w:w="1994"/>
          </w:tcPr>
          <w:p>
            <w:r/>
            <w:r>
              <w:rPr>
                <w:rFonts w:ascii="Calibri" w:hAnsi="Calibri"/>
                <w:b w:val="0"/>
                <w:sz w:val="19"/>
              </w:rPr>
              <w:t>Gerencia Administrativa</w:t>
            </w:r>
          </w:p>
        </w:tc>
      </w:tr>
      <w:tr>
        <w:tc>
          <w:tcPr>
            <w:tcW w:type="dxa" w:w="2194"/>
          </w:tcPr>
          <w:p>
            <w:r/>
            <w:r>
              <w:rPr>
                <w:rFonts w:ascii="Calibri" w:hAnsi="Calibri"/>
                <w:b w:val="0"/>
                <w:sz w:val="19"/>
              </w:rPr>
              <w:t>WhatsApp al equipo de campo</w:t>
            </w:r>
          </w:p>
        </w:tc>
        <w:tc>
          <w:tcPr>
            <w:tcW w:type="dxa" w:w="3091"/>
          </w:tcPr>
          <w:p>
            <w:r/>
            <w:r>
              <w:rPr>
                <w:rFonts w:ascii="Calibri" w:hAnsi="Calibri"/>
                <w:b w:val="0"/>
                <w:sz w:val="19"/>
              </w:rPr>
              <w:t>Imagen de la política, mensaje breve de contexto y solicitud de confirmar de recibido</w:t>
            </w:r>
          </w:p>
        </w:tc>
        <w:tc>
          <w:tcPr>
            <w:tcW w:type="dxa" w:w="2692"/>
          </w:tcPr>
          <w:p>
            <w:r/>
            <w:r>
              <w:rPr>
                <w:rFonts w:ascii="Calibri" w:hAnsi="Calibri"/>
                <w:b w:val="0"/>
                <w:sz w:val="19"/>
              </w:rPr>
              <w:t>Grupos de WhatsApp del equipo técnico y de instalación</w:t>
            </w:r>
          </w:p>
        </w:tc>
        <w:tc>
          <w:tcPr>
            <w:tcW w:type="dxa" w:w="1994"/>
          </w:tcPr>
          <w:p>
            <w:r/>
            <w:r>
              <w:rPr>
                <w:rFonts w:ascii="Calibri" w:hAnsi="Calibri"/>
                <w:b w:val="0"/>
                <w:sz w:val="19"/>
              </w:rPr>
              <w:t>Coordinación de Ingeniería y Coordinación de Postventa</w:t>
            </w:r>
          </w:p>
        </w:tc>
      </w:tr>
      <w:tr>
        <w:tc>
          <w:tcPr>
            <w:tcW w:type="dxa" w:w="2194"/>
          </w:tcPr>
          <w:p>
            <w:r/>
            <w:r>
              <w:rPr>
                <w:rFonts w:ascii="Calibri" w:hAnsi="Calibri"/>
                <w:b w:val="0"/>
                <w:sz w:val="19"/>
              </w:rPr>
              <w:t>Disponibilidad a partes interesadas externas</w:t>
            </w:r>
          </w:p>
        </w:tc>
        <w:tc>
          <w:tcPr>
            <w:tcW w:type="dxa" w:w="3091"/>
          </w:tcPr>
          <w:p>
            <w:r/>
            <w:r>
              <w:rPr>
                <w:rFonts w:ascii="Calibri" w:hAnsi="Calibri"/>
                <w:b w:val="0"/>
                <w:sz w:val="19"/>
              </w:rPr>
              <w:t>Política de Calidad disponible para clientes y para procesos de licitación que la requieran</w:t>
            </w:r>
          </w:p>
        </w:tc>
        <w:tc>
          <w:tcPr>
            <w:tcW w:type="dxa" w:w="2692"/>
          </w:tcPr>
          <w:p>
            <w:r/>
            <w:r>
              <w:rPr>
                <w:rFonts w:ascii="Calibri" w:hAnsi="Calibri"/>
                <w:b w:val="0"/>
                <w:sz w:val="19"/>
              </w:rPr>
              <w:t>Entrega a solicitud, a través del hub o por correo</w:t>
            </w:r>
          </w:p>
        </w:tc>
        <w:tc>
          <w:tcPr>
            <w:tcW w:type="dxa" w:w="1994"/>
          </w:tcPr>
          <w:p>
            <w:r/>
            <w:r>
              <w:rPr>
                <w:rFonts w:ascii="Calibri" w:hAnsi="Calibri"/>
                <w:b w:val="0"/>
                <w:sz w:val="19"/>
              </w:rPr>
              <w:t>Gerencia Administrativa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envío por WhatsApp incluye la solicitud de confirmar de recibido. Las confirmaciones se conservan como evidencia, mediante captura de pantalla, junto con este plan.</w:t>
            </w:r>
          </w:p>
        </w:tc>
      </w:tr>
    </w:tbl>
    <w:p>
      <w:pPr>
        <w:spacing w:after="40"/>
      </w:pPr>
    </w:p>
    <w:p>
      <w:pPr>
        <w:keepNext/>
        <w:spacing w:before="280" w:after="80"/>
        <w:pBdr>
          <w:bottom w:val="single" w:sz="8" w:color="F0E528"/>
        </w:pBdr>
      </w:pPr>
      <w:r>
        <w:rPr>
          <w:rFonts w:ascii="Georgia" w:hAnsi="Georgia"/>
          <w:b/>
          <w:color w:val="0056B4"/>
          <w:sz w:val="26"/>
        </w:rPr>
        <w:t>5. Mensajes clave</w:t>
      </w:r>
    </w:p>
    <w:p>
      <w:pPr>
        <w:spacing w:after="120"/>
      </w:pPr>
      <w:r>
        <w:rPr>
          <w:rFonts w:ascii="Calibri" w:hAnsi="Calibri"/>
          <w:color w:val="1C242E"/>
          <w:sz w:val="21"/>
        </w:rPr>
        <w:t>Ideas que todo el personal debe poder repetir con sus propias palabras al terminar la difusión:</w:t>
      </w:r>
    </w:p>
    <w:p>
      <w:pPr>
        <w:pStyle w:val="ListBullet"/>
      </w:pPr>
      <w:r>
        <w:rPr>
          <w:rFonts w:ascii="Calibri" w:hAnsi="Calibri"/>
          <w:sz w:val="20"/>
        </w:rPr>
        <w:t>Qué prometemos: la producción de energía y el ahorro al cliente.</w:t>
      </w:r>
    </w:p>
    <w:p>
      <w:pPr>
        <w:pStyle w:val="ListBullet"/>
      </w:pPr>
      <w:r>
        <w:rPr>
          <w:rFonts w:ascii="Calibri" w:hAnsi="Calibri"/>
          <w:sz w:val="20"/>
        </w:rPr>
        <w:t>Cómo lo cumplimos: calidad técnica en cada instalación, seguridad del personal, cumplimiento de los tiempos comprometidos y cumplimiento de la NOM-001-SEDE y de los requisitos de CFE.</w:t>
      </w:r>
    </w:p>
    <w:p>
      <w:pPr>
        <w:pStyle w:val="ListBullet"/>
      </w:pPr>
      <w:r>
        <w:rPr>
          <w:rFonts w:ascii="Calibri" w:hAnsi="Calibri"/>
          <w:sz w:val="20"/>
        </w:rPr>
        <w:t>El objetivo que sí medimos: la satisfacción del cliente igual o mayor al 90 por ciento.</w:t>
      </w:r>
    </w:p>
    <w:p>
      <w:pPr>
        <w:pStyle w:val="ListBullet"/>
      </w:pPr>
      <w:r>
        <w:rPr>
          <w:rFonts w:ascii="Calibri" w:hAnsi="Calibri"/>
          <w:sz w:val="20"/>
        </w:rPr>
        <w:t>Mi rol: cada persona aporta a la calidad desde su puesto; hacer bien el trabajo a la primera evita retrabajos y quejas.</w:t>
      </w:r>
    </w:p>
    <w:p>
      <w:pPr>
        <w:pStyle w:val="ListBullet"/>
      </w:pPr>
      <w:r>
        <w:rPr>
          <w:rFonts w:ascii="Calibri" w:hAnsi="Calibri"/>
          <w:sz w:val="20"/>
        </w:rPr>
        <w:t>Qué pasa si no se cumple: retrasos, retrabajos, riesgos de seguridad, quejas del cliente, no conformidades y afectación a la reputación y a las licitaciones que exigen ISO.</w:t>
      </w:r>
    </w:p>
    <w:p>
      <w:pPr>
        <w:keepNext/>
        <w:spacing w:before="280" w:after="80"/>
        <w:pBdr>
          <w:bottom w:val="single" w:sz="8" w:color="F0E528"/>
        </w:pBdr>
      </w:pPr>
      <w:r>
        <w:rPr>
          <w:rFonts w:ascii="Georgia" w:hAnsi="Georgia"/>
          <w:b/>
          <w:color w:val="0056B4"/>
          <w:sz w:val="26"/>
        </w:rPr>
        <w:t>6. Sesión de toma de conciencia</w:t>
      </w:r>
    </w:p>
    <w:p>
      <w:pPr>
        <w:spacing w:after="120"/>
      </w:pPr>
      <w:r>
        <w:rPr>
          <w:rFonts w:ascii="Calibri" w:hAnsi="Calibri"/>
          <w:color w:val="1C242E"/>
          <w:sz w:val="21"/>
        </w:rPr>
        <w:t>La sesión cubre el requisito de toma de conciencia de la cláusula 7.3 de la ISO 9001:2015: la política, los objetivos de calidad, la contribución de cada persona a la eficacia del SGC y las consecuencias de no cumplir los requisitos. Se imparte por sitio, en Chihuahua y en Ciudad Juárez, para cubrir a todo el personal. Duración aproximada de 45 minutos, en formato presencial o mixto según la disponibilidad del equipo de campo.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1197"/>
            <w:shd w:val="clear" w:fill="0056B4"/>
          </w:tcPr>
          <w:p>
            <w:pPr>
              <w:jc w:val="center"/>
            </w:pPr>
            <w:r/>
            <w:r>
              <w:rPr>
                <w:rFonts w:ascii="Calibri" w:hAnsi="Calibri"/>
                <w:b/>
                <w:color w:val="FFFFFF"/>
                <w:sz w:val="17"/>
              </w:rPr>
              <w:t>Tiempo</w:t>
            </w:r>
          </w:p>
        </w:tc>
        <w:tc>
          <w:tcPr>
            <w:tcW w:type="dxa" w:w="2393"/>
            <w:shd w:val="clear" w:fill="0056B4"/>
          </w:tcPr>
          <w:p>
            <w:pPr>
              <w:jc w:val="center"/>
            </w:pPr>
            <w:r/>
            <w:r>
              <w:rPr>
                <w:rFonts w:ascii="Calibri" w:hAnsi="Calibri"/>
                <w:b/>
                <w:color w:val="FFFFFF"/>
                <w:sz w:val="17"/>
              </w:rPr>
              <w:t>Tema</w:t>
            </w:r>
          </w:p>
        </w:tc>
        <w:tc>
          <w:tcPr>
            <w:tcW w:type="dxa" w:w="6382"/>
            <w:shd w:val="clear" w:fill="0056B4"/>
          </w:tcPr>
          <w:p>
            <w:pPr>
              <w:jc w:val="center"/>
            </w:pPr>
            <w:r/>
            <w:r>
              <w:rPr>
                <w:rFonts w:ascii="Calibri" w:hAnsi="Calibri"/>
                <w:b/>
                <w:color w:val="FFFFFF"/>
                <w:sz w:val="17"/>
              </w:rPr>
              <w:t>Contenido</w:t>
            </w:r>
          </w:p>
        </w:tc>
      </w:tr>
      <w:tr>
        <w:tc>
          <w:tcPr>
            <w:tcW w:type="dxa" w:w="1197"/>
          </w:tcPr>
          <w:p>
            <w:r/>
            <w:r>
              <w:rPr>
                <w:rFonts w:ascii="Calibri" w:hAnsi="Calibri"/>
                <w:b w:val="0"/>
                <w:sz w:val="19"/>
              </w:rPr>
              <w:t>5 min</w:t>
            </w:r>
          </w:p>
        </w:tc>
        <w:tc>
          <w:tcPr>
            <w:tcW w:type="dxa" w:w="2393"/>
          </w:tcPr>
          <w:p>
            <w:r/>
            <w:r>
              <w:rPr>
                <w:rFonts w:ascii="Calibri" w:hAnsi="Calibri"/>
                <w:b w:val="0"/>
                <w:sz w:val="19"/>
              </w:rPr>
              <w:t>Apertura</w:t>
            </w:r>
          </w:p>
        </w:tc>
        <w:tc>
          <w:tcPr>
            <w:tcW w:type="dxa" w:w="6382"/>
          </w:tcPr>
          <w:p>
            <w:r/>
            <w:r>
              <w:rPr>
                <w:rFonts w:ascii="Calibri" w:hAnsi="Calibri"/>
                <w:b w:val="0"/>
                <w:sz w:val="19"/>
              </w:rPr>
              <w:t>Por qué SolarPro adopta ISO 9001 y qué gana la empresa y el cliente.</w:t>
            </w:r>
          </w:p>
        </w:tc>
      </w:tr>
      <w:tr>
        <w:tc>
          <w:tcPr>
            <w:tcW w:type="dxa" w:w="1197"/>
          </w:tcPr>
          <w:p>
            <w:r/>
            <w:r>
              <w:rPr>
                <w:rFonts w:ascii="Calibri" w:hAnsi="Calibri"/>
                <w:b w:val="0"/>
                <w:sz w:val="19"/>
              </w:rPr>
              <w:t>10 min</w:t>
            </w:r>
          </w:p>
        </w:tc>
        <w:tc>
          <w:tcPr>
            <w:tcW w:type="dxa" w:w="2393"/>
          </w:tcPr>
          <w:p>
            <w:r/>
            <w:r>
              <w:rPr>
                <w:rFonts w:ascii="Calibri" w:hAnsi="Calibri"/>
                <w:b w:val="0"/>
                <w:sz w:val="19"/>
              </w:rPr>
              <w:t>Política de Calidad</w:t>
            </w:r>
          </w:p>
        </w:tc>
        <w:tc>
          <w:tcPr>
            <w:tcW w:type="dxa" w:w="6382"/>
          </w:tcPr>
          <w:p>
            <w:r/>
            <w:r>
              <w:rPr>
                <w:rFonts w:ascii="Calibri" w:hAnsi="Calibri"/>
                <w:b w:val="0"/>
                <w:sz w:val="19"/>
              </w:rPr>
              <w:t>Lectura y explicación de la política: qué promete SolarPro y cómo lo cumple.</w:t>
            </w:r>
          </w:p>
        </w:tc>
      </w:tr>
      <w:tr>
        <w:tc>
          <w:tcPr>
            <w:tcW w:type="dxa" w:w="1197"/>
          </w:tcPr>
          <w:p>
            <w:r/>
            <w:r>
              <w:rPr>
                <w:rFonts w:ascii="Calibri" w:hAnsi="Calibri"/>
                <w:b w:val="0"/>
                <w:sz w:val="19"/>
              </w:rPr>
              <w:t>8 min</w:t>
            </w:r>
          </w:p>
        </w:tc>
        <w:tc>
          <w:tcPr>
            <w:tcW w:type="dxa" w:w="2393"/>
          </w:tcPr>
          <w:p>
            <w:r/>
            <w:r>
              <w:rPr>
                <w:rFonts w:ascii="Calibri" w:hAnsi="Calibri"/>
                <w:b w:val="0"/>
                <w:sz w:val="19"/>
              </w:rPr>
              <w:t>Objetivos de calidad</w:t>
            </w:r>
          </w:p>
        </w:tc>
        <w:tc>
          <w:tcPr>
            <w:tcW w:type="dxa" w:w="6382"/>
          </w:tcPr>
          <w:p>
            <w:r/>
            <w:r>
              <w:rPr>
                <w:rFonts w:ascii="Calibri" w:hAnsi="Calibri"/>
                <w:b w:val="0"/>
                <w:sz w:val="19"/>
              </w:rPr>
              <w:t>El objetivo de satisfacción del cliente igual o mayor al 90 por ciento y cómo se mide.</w:t>
            </w:r>
          </w:p>
        </w:tc>
      </w:tr>
      <w:tr>
        <w:tc>
          <w:tcPr>
            <w:tcW w:type="dxa" w:w="1197"/>
          </w:tcPr>
          <w:p>
            <w:r/>
            <w:r>
              <w:rPr>
                <w:rFonts w:ascii="Calibri" w:hAnsi="Calibri"/>
                <w:b w:val="0"/>
                <w:sz w:val="19"/>
              </w:rPr>
              <w:t>12 min</w:t>
            </w:r>
          </w:p>
        </w:tc>
        <w:tc>
          <w:tcPr>
            <w:tcW w:type="dxa" w:w="2393"/>
          </w:tcPr>
          <w:p>
            <w:r/>
            <w:r>
              <w:rPr>
                <w:rFonts w:ascii="Calibri" w:hAnsi="Calibri"/>
                <w:b w:val="0"/>
                <w:sz w:val="19"/>
              </w:rPr>
              <w:t>Mi rol en el SGC</w:t>
            </w:r>
          </w:p>
        </w:tc>
        <w:tc>
          <w:tcPr>
            <w:tcW w:type="dxa" w:w="6382"/>
          </w:tcPr>
          <w:p>
            <w:r/>
            <w:r>
              <w:rPr>
                <w:rFonts w:ascii="Calibri" w:hAnsi="Calibri"/>
                <w:b w:val="0"/>
                <w:sz w:val="19"/>
              </w:rPr>
              <w:t>Contribución de cada puesto a la calidad, con ejemplos por área: comercial, ingeniería, instalación, postventa y administración.</w:t>
            </w:r>
          </w:p>
        </w:tc>
      </w:tr>
      <w:tr>
        <w:tc>
          <w:tcPr>
            <w:tcW w:type="dxa" w:w="1197"/>
          </w:tcPr>
          <w:p>
            <w:r/>
            <w:r>
              <w:rPr>
                <w:rFonts w:ascii="Calibri" w:hAnsi="Calibri"/>
                <w:b w:val="0"/>
                <w:sz w:val="19"/>
              </w:rPr>
              <w:t>7 min</w:t>
            </w:r>
          </w:p>
        </w:tc>
        <w:tc>
          <w:tcPr>
            <w:tcW w:type="dxa" w:w="2393"/>
          </w:tcPr>
          <w:p>
            <w:r/>
            <w:r>
              <w:rPr>
                <w:rFonts w:ascii="Calibri" w:hAnsi="Calibri"/>
                <w:b w:val="0"/>
                <w:sz w:val="19"/>
              </w:rPr>
              <w:t>Consecuencias de no cumplir</w:t>
            </w:r>
          </w:p>
        </w:tc>
        <w:tc>
          <w:tcPr>
            <w:tcW w:type="dxa" w:w="6382"/>
          </w:tcPr>
          <w:p>
            <w:r/>
            <w:r>
              <w:rPr>
                <w:rFonts w:ascii="Calibri" w:hAnsi="Calibri"/>
                <w:b w:val="0"/>
                <w:sz w:val="19"/>
              </w:rPr>
              <w:t>Efecto de los incumplimientos en el cliente, en la seguridad, en las no conformidades y en las licitaciones.</w:t>
            </w:r>
          </w:p>
        </w:tc>
      </w:tr>
      <w:tr>
        <w:tc>
          <w:tcPr>
            <w:tcW w:type="dxa" w:w="1197"/>
          </w:tcPr>
          <w:p>
            <w:r/>
            <w:r>
              <w:rPr>
                <w:rFonts w:ascii="Calibri" w:hAnsi="Calibri"/>
                <w:b w:val="0"/>
                <w:sz w:val="19"/>
              </w:rPr>
              <w:t>3 min</w:t>
            </w:r>
          </w:p>
        </w:tc>
        <w:tc>
          <w:tcPr>
            <w:tcW w:type="dxa" w:w="2393"/>
          </w:tcPr>
          <w:p>
            <w:r/>
            <w:r>
              <w:rPr>
                <w:rFonts w:ascii="Calibri" w:hAnsi="Calibri"/>
                <w:b w:val="0"/>
                <w:sz w:val="19"/>
              </w:rPr>
              <w:t>Cierre y encuesta</w:t>
            </w:r>
          </w:p>
        </w:tc>
        <w:tc>
          <w:tcPr>
            <w:tcW w:type="dxa" w:w="6382"/>
          </w:tcPr>
          <w:p>
            <w:r/>
            <w:r>
              <w:rPr>
                <w:rFonts w:ascii="Calibri" w:hAnsi="Calibri"/>
                <w:b w:val="0"/>
                <w:sz w:val="19"/>
              </w:rPr>
              <w:t>Firma de la lista de asistencia y llenado de la encuesta breve de toma de conciencia.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Facilita la sesión la Gerencia Administrativa, como custodio del manual, con apoyo de la Coordinación de Ingeniería para los ejemplos técnicos.</w:t>
            </w:r>
          </w:p>
        </w:tc>
      </w:tr>
    </w:tbl>
    <w:p>
      <w:pPr>
        <w:spacing w:after="40"/>
      </w:pPr>
    </w:p>
    <w:p>
      <w:pPr>
        <w:keepNext/>
        <w:spacing w:before="280" w:after="80"/>
        <w:pBdr>
          <w:bottom w:val="single" w:sz="8" w:color="F0E528"/>
        </w:pBdr>
      </w:pPr>
      <w:r>
        <w:rPr>
          <w:rFonts w:ascii="Georgia" w:hAnsi="Georgia"/>
          <w:b/>
          <w:color w:val="0056B4"/>
          <w:sz w:val="26"/>
        </w:rPr>
        <w:t>7. Responsables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6781"/>
            <w:shd w:val="clear" w:fill="0056B4"/>
          </w:tcPr>
          <w:p>
            <w:pPr>
              <w:jc w:val="center"/>
            </w:pPr>
            <w:r/>
            <w:r>
              <w:rPr>
                <w:rFonts w:ascii="Calibri" w:hAnsi="Calibri"/>
                <w:b/>
                <w:color w:val="FFFFFF"/>
                <w:sz w:val="17"/>
              </w:rPr>
              <w:t>Actividad</w:t>
            </w:r>
          </w:p>
        </w:tc>
        <w:tc>
          <w:tcPr>
            <w:tcW w:type="dxa" w:w="3191"/>
            <w:shd w:val="clear" w:fill="0056B4"/>
          </w:tcPr>
          <w:p>
            <w:pPr>
              <w:jc w:val="center"/>
            </w:pPr>
            <w:r/>
            <w:r>
              <w:rPr>
                <w:rFonts w:ascii="Calibri" w:hAnsi="Calibri"/>
                <w:b/>
                <w:color w:val="FFFFFF"/>
                <w:sz w:val="17"/>
              </w:rPr>
              <w:t>Responsable</w:t>
            </w:r>
          </w:p>
        </w:tc>
      </w:tr>
      <w:tr>
        <w:tc>
          <w:tcPr>
            <w:tcW w:type="dxa" w:w="6781"/>
          </w:tcPr>
          <w:p>
            <w:r/>
            <w:r>
              <w:rPr>
                <w:rFonts w:ascii="Calibri" w:hAnsi="Calibri"/>
                <w:b w:val="0"/>
                <w:sz w:val="19"/>
              </w:rPr>
              <w:t>Aprobar el plan y la política a difundir</w:t>
            </w:r>
          </w:p>
        </w:tc>
        <w:tc>
          <w:tcPr>
            <w:tcW w:type="dxa" w:w="3191"/>
          </w:tcPr>
          <w:p>
            <w:r/>
            <w:r>
              <w:rPr>
                <w:rFonts w:ascii="Calibri" w:hAnsi="Calibri"/>
                <w:b w:val="0"/>
                <w:sz w:val="19"/>
              </w:rPr>
              <w:t>Dirección General</w:t>
            </w:r>
          </w:p>
        </w:tc>
      </w:tr>
      <w:tr>
        <w:tc>
          <w:tcPr>
            <w:tcW w:type="dxa" w:w="6781"/>
          </w:tcPr>
          <w:p>
            <w:r/>
            <w:r>
              <w:rPr>
                <w:rFonts w:ascii="Calibri" w:hAnsi="Calibri"/>
                <w:b w:val="0"/>
                <w:sz w:val="19"/>
              </w:rPr>
              <w:t>Coordinar la difusión y custodiar la evidencia</w:t>
            </w:r>
          </w:p>
        </w:tc>
        <w:tc>
          <w:tcPr>
            <w:tcW w:type="dxa" w:w="3191"/>
          </w:tcPr>
          <w:p>
            <w:r/>
            <w:r>
              <w:rPr>
                <w:rFonts w:ascii="Calibri" w:hAnsi="Calibri"/>
                <w:b w:val="0"/>
                <w:sz w:val="19"/>
              </w:rPr>
              <w:t>Gerencia Administrativa</w:t>
            </w:r>
          </w:p>
        </w:tc>
      </w:tr>
      <w:tr>
        <w:tc>
          <w:tcPr>
            <w:tcW w:type="dxa" w:w="6781"/>
          </w:tcPr>
          <w:p>
            <w:r/>
            <w:r>
              <w:rPr>
                <w:rFonts w:ascii="Calibri" w:hAnsi="Calibri"/>
                <w:b w:val="0"/>
                <w:sz w:val="19"/>
              </w:rPr>
              <w:t>Imprimir y colocar los carteles en oficina y taller</w:t>
            </w:r>
          </w:p>
        </w:tc>
        <w:tc>
          <w:tcPr>
            <w:tcW w:type="dxa" w:w="3191"/>
          </w:tcPr>
          <w:p>
            <w:r/>
            <w:r>
              <w:rPr>
                <w:rFonts w:ascii="Calibri" w:hAnsi="Calibri"/>
                <w:b w:val="0"/>
                <w:sz w:val="19"/>
              </w:rPr>
              <w:t>Gerencia Administrativa</w:t>
            </w:r>
          </w:p>
        </w:tc>
      </w:tr>
      <w:tr>
        <w:tc>
          <w:tcPr>
            <w:tcW w:type="dxa" w:w="6781"/>
          </w:tcPr>
          <w:p>
            <w:r/>
            <w:r>
              <w:rPr>
                <w:rFonts w:ascii="Calibri" w:hAnsi="Calibri"/>
                <w:b w:val="0"/>
                <w:sz w:val="19"/>
              </w:rPr>
              <w:t>Difundir la política por WhatsApp y recabar las confirmaciones del equipo de campo</w:t>
            </w:r>
          </w:p>
        </w:tc>
        <w:tc>
          <w:tcPr>
            <w:tcW w:type="dxa" w:w="3191"/>
          </w:tcPr>
          <w:p>
            <w:r/>
            <w:r>
              <w:rPr>
                <w:rFonts w:ascii="Calibri" w:hAnsi="Calibri"/>
                <w:b w:val="0"/>
                <w:sz w:val="19"/>
              </w:rPr>
              <w:t>Coordinación de Ingeniería y Coordinación de Postventa</w:t>
            </w:r>
          </w:p>
        </w:tc>
      </w:tr>
      <w:tr>
        <w:tc>
          <w:tcPr>
            <w:tcW w:type="dxa" w:w="6781"/>
          </w:tcPr>
          <w:p>
            <w:r/>
            <w:r>
              <w:rPr>
                <w:rFonts w:ascii="Calibri" w:hAnsi="Calibri"/>
                <w:b w:val="0"/>
                <w:sz w:val="19"/>
              </w:rPr>
              <w:t>Impartir la sesión de toma de conciencia</w:t>
            </w:r>
          </w:p>
        </w:tc>
        <w:tc>
          <w:tcPr>
            <w:tcW w:type="dxa" w:w="3191"/>
          </w:tcPr>
          <w:p>
            <w:r/>
            <w:r>
              <w:rPr>
                <w:rFonts w:ascii="Calibri" w:hAnsi="Calibri"/>
                <w:b w:val="0"/>
                <w:sz w:val="19"/>
              </w:rPr>
              <w:t>Gerencia Administrativa, con apoyo de Coordinación de Ingeniería</w:t>
            </w:r>
          </w:p>
        </w:tc>
      </w:tr>
      <w:tr>
        <w:tc>
          <w:tcPr>
            <w:tcW w:type="dxa" w:w="6781"/>
          </w:tcPr>
          <w:p>
            <w:r/>
            <w:r>
              <w:rPr>
                <w:rFonts w:ascii="Calibri" w:hAnsi="Calibri"/>
                <w:b w:val="0"/>
                <w:sz w:val="19"/>
              </w:rPr>
              <w:t>Poner la Política de Calidad a disposición de clientes y de licitaciones que la soliciten</w:t>
            </w:r>
          </w:p>
        </w:tc>
        <w:tc>
          <w:tcPr>
            <w:tcW w:type="dxa" w:w="3191"/>
          </w:tcPr>
          <w:p>
            <w:r/>
            <w:r>
              <w:rPr>
                <w:rFonts w:ascii="Calibri" w:hAnsi="Calibri"/>
                <w:b w:val="0"/>
                <w:sz w:val="19"/>
              </w:rPr>
              <w:t>Gerencia Administrativa</w:t>
            </w:r>
          </w:p>
        </w:tc>
      </w:tr>
      <w:tr>
        <w:tc>
          <w:tcPr>
            <w:tcW w:type="dxa" w:w="6781"/>
          </w:tcPr>
          <w:p>
            <w:r/>
            <w:r>
              <w:rPr>
                <w:rFonts w:ascii="Calibri" w:hAnsi="Calibri"/>
                <w:b w:val="0"/>
                <w:sz w:val="19"/>
              </w:rPr>
              <w:t>Resguardar las listas de asistencia y las encuestas en el hub</w:t>
            </w:r>
          </w:p>
        </w:tc>
        <w:tc>
          <w:tcPr>
            <w:tcW w:type="dxa" w:w="3191"/>
          </w:tcPr>
          <w:p>
            <w:r/>
            <w:r>
              <w:rPr>
                <w:rFonts w:ascii="Calibri" w:hAnsi="Calibri"/>
                <w:b w:val="0"/>
                <w:sz w:val="19"/>
              </w:rPr>
              <w:t>Gerencia Administrativa</w:t>
            </w:r>
          </w:p>
        </w:tc>
      </w:tr>
    </w:tbl>
    <w:p>
      <w:pPr>
        <w:keepNext/>
        <w:spacing w:before="280" w:after="80"/>
        <w:pBdr>
          <w:bottom w:val="single" w:sz="8" w:color="F0E528"/>
        </w:pBdr>
      </w:pPr>
      <w:r>
        <w:rPr>
          <w:rFonts w:ascii="Georgia" w:hAnsi="Georgia"/>
          <w:b/>
          <w:color w:val="0056B4"/>
          <w:sz w:val="26"/>
        </w:rPr>
        <w:t>8. Evidencia esperada y registros</w:t>
      </w:r>
    </w:p>
    <w:p>
      <w:pPr>
        <w:spacing w:after="120"/>
      </w:pPr>
      <w:r>
        <w:rPr>
          <w:rFonts w:ascii="Calibri" w:hAnsi="Calibri"/>
          <w:color w:val="1C242E"/>
          <w:sz w:val="21"/>
        </w:rPr>
        <w:t>La ejecución de este plan genera los registros siguientes, que se conservan como información documentada del SGC, según la sección 7.5 del MC-SP-01, en el hub:</w:t>
      </w:r>
    </w:p>
    <w:p>
      <w:pPr>
        <w:pStyle w:val="ListBullet"/>
      </w:pPr>
      <w:r>
        <w:rPr>
          <w:rFonts w:ascii="Calibri" w:hAnsi="Calibri"/>
          <w:sz w:val="20"/>
        </w:rPr>
        <w:t>Fotografía de los carteles colocados en oficina y en taller, con fecha.</w:t>
      </w:r>
    </w:p>
    <w:p>
      <w:pPr>
        <w:pStyle w:val="ListBullet"/>
      </w:pPr>
      <w:r>
        <w:rPr>
          <w:rFonts w:ascii="Calibri" w:hAnsi="Calibri"/>
          <w:sz w:val="20"/>
        </w:rPr>
        <w:t>Captura de las confirmaciones de lectura del equipo de campo en WhatsApp.</w:t>
      </w:r>
    </w:p>
    <w:p>
      <w:pPr>
        <w:pStyle w:val="ListBullet"/>
      </w:pPr>
      <w:r>
        <w:rPr>
          <w:rFonts w:ascii="Calibri" w:hAnsi="Calibri"/>
          <w:sz w:val="20"/>
        </w:rPr>
        <w:t>Lista de asistencia a la sesión de toma de conciencia, firmada, en el formato FOR-SGC-01.</w:t>
      </w:r>
    </w:p>
    <w:p>
      <w:pPr>
        <w:pStyle w:val="ListBullet"/>
      </w:pPr>
      <w:r>
        <w:rPr>
          <w:rFonts w:ascii="Calibri" w:hAnsi="Calibri"/>
          <w:sz w:val="20"/>
        </w:rPr>
        <w:t>Encuesta breve de toma de conciencia respondida por cada asistente, en el formato FOR-SGC-01.</w:t>
      </w:r>
    </w:p>
    <w:p>
      <w:pPr>
        <w:spacing w:after="120"/>
      </w:pPr>
      <w:r>
        <w:rPr>
          <w:rFonts w:ascii="Calibri" w:hAnsi="Calibri"/>
          <w:color w:val="1C242E"/>
          <w:sz w:val="21"/>
        </w:rPr>
        <w:t>La evidencia alimenta la revisión por la dirección y las auditorías internas como prueba de que la política se comunicó y de que el personal tomó conciencia de su rol en el SGC.</w:t>
      </w:r>
    </w:p>
    <w:p>
      <w:pPr>
        <w:keepNext/>
        <w:spacing w:before="280" w:after="80"/>
        <w:pBdr>
          <w:bottom w:val="single" w:sz="8" w:color="F0E528"/>
        </w:pBdr>
      </w:pPr>
      <w:r>
        <w:rPr>
          <w:rFonts w:ascii="Georgia" w:hAnsi="Georgia"/>
          <w:b/>
          <w:color w:val="0056B4"/>
          <w:sz w:val="26"/>
        </w:rPr>
        <w:t>9. Seguimiento y actualización</w:t>
      </w:r>
    </w:p>
    <w:p>
      <w:pPr>
        <w:spacing w:after="120"/>
      </w:pPr>
      <w:r>
        <w:rPr>
          <w:rFonts w:ascii="Calibri" w:hAnsi="Calibri"/>
          <w:color w:val="1C242E"/>
          <w:sz w:val="21"/>
        </w:rPr>
        <w:t>La difusión se repite ante cambios en la Política de Calidad, ante el ingreso de nuevo personal y ante hallazgos de auditoría. Como parte de la inducción, cada persona de nuevo ingreso recibe la política y firma la lista de asistencia y la encuesta.</w:t>
      </w:r>
    </w:p>
    <w:p>
      <w:pPr>
        <w:spacing w:after="120"/>
      </w:pPr>
      <w:r>
        <w:rPr>
          <w:rFonts w:ascii="Calibri" w:hAnsi="Calibri"/>
          <w:color w:val="1C242E"/>
          <w:sz w:val="21"/>
        </w:rPr>
        <w:t>Este plan se revisa junto con la revisión por la dirección. Cualquier cambio se registra en el historial de revisiones.</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fecha y sede de la primera sesión por sitio, en Chihuahua y en Ciudad Juárez; persona designada para facilitar la sesión; y responsable de resguardar la evidencia en el hub.]</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Plan de Difusión y Toma de Conciencia · DIF-POL-001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