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448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4021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neles-solares-chihuahua-financiamiento-cotizacion-credito-energia-solar-cibanco-solarpro-sustainable-energy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4021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80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6"/>
              </w:rPr>
              <w:t>Diseño Eléctrico y Render 3D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Código: </w:t>
            </w:r>
            <w:r>
              <w:rPr>
                <w:rFonts w:ascii="Calibri" w:hAnsi="Calibri"/>
                <w:sz w:val="15"/>
              </w:rPr>
              <w:t>PRO-ING-03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Versión: </w:t>
            </w:r>
            <w:r>
              <w:rPr>
                <w:rFonts w:ascii="Calibri" w:hAnsi="Calibri"/>
                <w:sz w:val="15"/>
              </w:rPr>
              <w:t>1.0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Emisión: </w:t>
            </w:r>
            <w:r>
              <w:rPr>
                <w:rFonts w:ascii="Calibri" w:hAnsi="Calibri"/>
                <w:sz w:val="15"/>
              </w:rPr>
              <w:t>Septiembre 2026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Revisión: </w:t>
            </w:r>
            <w:r>
              <w:rPr>
                <w:rFonts w:ascii="Calibri" w:hAnsi="Calibri"/>
                <w:sz w:val="15"/>
              </w:rPr>
              <w:t>Diciembre 2026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Procedimiento de Ingeniería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Estado: </w:t>
            </w:r>
            <w:r>
              <w:rPr>
                <w:rFonts w:ascii="Calibri" w:hAnsi="Calibri"/>
                <w:sz w:val="15"/>
              </w:rPr>
              <w:t>Borrador para validación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Página: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PAGE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  <w:r>
              <w:rPr>
                <w:rFonts w:ascii="Calibri" w:hAnsi="Calibri"/>
                <w:sz w:val="15"/>
              </w:rPr>
              <w:t xml:space="preserve"> de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NUMPAGES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Cláusula ISO 9001: 8.5.1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Propietario: </w:t>
            </w:r>
            <w:r>
              <w:rPr>
                <w:rFonts w:ascii="Calibri" w:hAnsi="Calibri"/>
                <w:sz w:val="15"/>
              </w:rPr>
              <w:t>Coordinación de Ingeniería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Elaboró: </w:t>
            </w:r>
            <w:r>
              <w:rPr>
                <w:rFonts w:ascii="Calibri" w:hAnsi="Calibri"/>
                <w:sz w:val="15"/>
              </w:rPr>
              <w:t>DETA Consultores</w:t>
            </w:r>
          </w:p>
        </w:tc>
      </w:tr>
    </w:tbl>
    <w:p>
      <w:pPr>
        <w:spacing w:before="40" w:after="160"/>
        <w:pBdr>
          <w:bottom w:val="single" w:sz="18" w:color="F0E528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0E528"/>
        </w:tblBorders>
      </w:tblPr>
      <w:tblGrid>
        <w:gridCol w:w="10200"/>
      </w:tblGrid>
      <w:tr>
        <w:tc>
          <w:tcPr>
            <w:tcW w:type="dxa" w:w="10200"/>
            <w:shd w:val="clear" w:fill="FFF9DB"/>
          </w:tcPr>
          <w:p>
            <w:r/>
            <w:r>
              <w:rPr>
                <w:rFonts w:ascii="Calibri" w:hAnsi="Calibri"/>
                <w:b w:val="0"/>
                <w:color w:val="003D80"/>
                <w:sz w:val="17"/>
              </w:rPr>
              <w:t>Importante: El render y los diagramas se cargan a Trello antes del segundo contacto comercial. No se procede a trámites e instalación sin la aceptación del cliente registrada en la tarjeta.</w:t>
            </w:r>
          </w:p>
        </w:tc>
      </w:tr>
    </w:tbl>
    <w:p>
      <w:pPr>
        <w:spacing w:after="40"/>
      </w:pP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1. OBJETIVO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Estandarizar el diseño eléctrico y el render 3D del sistema fotovoltaico a partir del levantamiento, y su entrega para el segundo contacto comercial, evitando retrabajos por error de cálculo o diseño.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2. ALCANCE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Aplica desde la recepción del checklist de vuelo hasta la entrega del render y los diagramas a la tarjeta de Trello y el segundo contacto con el cliente. No incluye el diseño del producto (paneles): la cláusula 8.3 está excluida del alcance del SGC porque SolarPro no diseña equipo.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3. DEFINICIONES Y ABREVIATURAS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Término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Definición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Render 3D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Modelo tridimensional del sistema fotovoltaico elaborado en Sketchup a partir del levantamiento.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Diagrama unifilar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Representación eléctrica del sistema que sustenta la propuesta técnica.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Segundo contacto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Interacción comercial en la que el asesor comparte el render y las notas técnicas con el cliente.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4. DOCUMENTOS DE REFERENCIA</w:t>
      </w:r>
    </w:p>
    <w:p>
      <w:pPr>
        <w:pStyle w:val="ListBullet"/>
      </w:pPr>
      <w:r>
        <w:rPr>
          <w:rFonts w:ascii="Calibri" w:hAnsi="Calibri"/>
          <w:sz w:val="20"/>
        </w:rPr>
        <w:t>ISO 9001:2015 cláusula 8.5.1 (control de la producción y provisión del servicio)</w:t>
      </w:r>
    </w:p>
    <w:p>
      <w:pPr>
        <w:pStyle w:val="ListBullet"/>
      </w:pPr>
      <w:r>
        <w:rPr>
          <w:rFonts w:ascii="Calibri" w:hAnsi="Calibri"/>
          <w:sz w:val="20"/>
        </w:rPr>
        <w:t>SOL-PROC-001 Proceso Comercial-Ingeniería-Postventa, fase 7.3 (documento origen)</w:t>
      </w:r>
    </w:p>
    <w:p>
      <w:pPr>
        <w:pStyle w:val="ListBullet"/>
      </w:pPr>
      <w:r>
        <w:rPr>
          <w:rFonts w:ascii="Calibri" w:hAnsi="Calibri"/>
          <w:sz w:val="20"/>
        </w:rPr>
        <w:t>POL-ING-001 Políticas de Ingeniería</w:t>
      </w:r>
    </w:p>
    <w:p>
      <w:pPr>
        <w:pStyle w:val="ListBullet"/>
      </w:pPr>
      <w:r>
        <w:rPr>
          <w:rFonts w:ascii="Calibri" w:hAnsi="Calibri"/>
          <w:sz w:val="20"/>
        </w:rPr>
        <w:t>PRO-ING-02 Vuelo y Levantamiento Técnico</w:t>
      </w:r>
    </w:p>
    <w:p>
      <w:pPr>
        <w:pStyle w:val="ListBullet"/>
      </w:pPr>
      <w:r>
        <w:rPr>
          <w:rFonts w:ascii="Calibri" w:hAnsi="Calibri"/>
          <w:sz w:val="20"/>
        </w:rPr>
        <w:t>PRO-VEN-02 Cotización y Precotización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5. RESPONSABILIDADES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306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714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Funciones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Ingeniero de campo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Elaborar el render 3D y el diagrama unifilar  ·  Medir los tiempos de diseño  ·  Cargar el render y los diagramas a Trello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Coordinación de Ingeniería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Coordinar la asignación y las excepciones del diseño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Comercial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Realizar el segundo contacto y registrar la aceptación o el ajuste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6. POLÍTICAS Y LINEAMIENTOS</w:t>
      </w:r>
    </w:p>
    <w:p>
      <w:pPr>
        <w:spacing w:after="100"/>
      </w:pPr>
      <w:r>
        <w:rPr>
          <w:b/>
          <w:color w:val="0056B4"/>
          <w:sz w:val="20"/>
        </w:rPr>
        <w:t xml:space="preserve">Render antes del segundo contacto. </w:t>
      </w:r>
      <w:r>
        <w:rPr>
          <w:rFonts w:ascii="Calibri" w:hAnsi="Calibri"/>
          <w:sz w:val="20"/>
        </w:rPr>
        <w:t>El 100 por ciento de los renders se cargan a Trello antes de que Comercial realice el segundo contacto.</w:t>
      </w:r>
    </w:p>
    <w:p>
      <w:pPr>
        <w:spacing w:after="100"/>
      </w:pPr>
      <w:r>
        <w:rPr>
          <w:b/>
          <w:color w:val="0056B4"/>
          <w:sz w:val="20"/>
        </w:rPr>
        <w:t xml:space="preserve">Cero retrabajos. </w:t>
      </w:r>
      <w:r>
        <w:rPr>
          <w:rFonts w:ascii="Calibri" w:hAnsi="Calibri"/>
          <w:sz w:val="20"/>
        </w:rPr>
        <w:t>El diseño se verifica para no generar retrabajos por error de cálculo; los tiempos se miden con el contador integrado a la herramienta, por tipo residencial, comercial o por número de paneles.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7. DESARROLLO DEL PROCEDIMIENTO</w:t>
      </w:r>
    </w:p>
    <w:p>
      <w:pPr>
        <w:spacing w:after="80"/>
      </w:pPr>
      <w:r>
        <w:rPr>
          <w:rFonts w:ascii="Calibri" w:hAnsi="Calibri"/>
          <w:color w:val="1C242E"/>
          <w:sz w:val="20"/>
        </w:rPr>
        <w:t>El procedimiento se desarrolla en fases secuenciales. Cada paso identifica al responsable y, cuando aplica, el registro que debe generarse.</w:t>
      </w:r>
    </w:p>
    <w:p>
      <w:pPr>
        <w:spacing w:before="160" w:after="60"/>
      </w:pPr>
      <w:r>
        <w:rPr>
          <w:b/>
          <w:color w:val="1C242E"/>
          <w:sz w:val="21"/>
        </w:rPr>
        <w:t>Fase 1. Diseño</w:t>
      </w:r>
    </w:p>
    <w:p>
      <w:pPr>
        <w:spacing w:after="60"/>
        <w:ind w:left="340"/>
      </w:pPr>
      <w:r>
        <w:rPr>
          <w:b/>
          <w:sz w:val="20"/>
        </w:rPr>
        <w:t xml:space="preserve">1. Elaborar el diseño y el render 3D </w:t>
      </w:r>
      <w:r>
        <w:rPr>
          <w:rFonts w:ascii="Calibri" w:hAnsi="Calibri"/>
          <w:sz w:val="20"/>
        </w:rPr>
        <w:t>· Diseñar el sistema y generar el render en Sketchup a partir del vuelo.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after="60"/>
        <w:ind w:left="340"/>
      </w:pPr>
      <w:r>
        <w:rPr>
          <w:b/>
          <w:sz w:val="20"/>
        </w:rPr>
        <w:t xml:space="preserve">2. Elaborar el diagrama unifilar </w:t>
      </w:r>
      <w:r>
        <w:rPr>
          <w:rFonts w:ascii="Calibri" w:hAnsi="Calibri"/>
          <w:sz w:val="20"/>
        </w:rPr>
        <w:t>· Preparar el unifilar y la propuesta técnica del sistema.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after="60"/>
        <w:ind w:left="340"/>
      </w:pPr>
      <w:r>
        <w:rPr>
          <w:b/>
          <w:sz w:val="20"/>
        </w:rPr>
        <w:t xml:space="preserve">3. Medir los tiempos </w:t>
      </w:r>
      <w:r>
        <w:rPr>
          <w:rFonts w:ascii="Calibri" w:hAnsi="Calibri"/>
          <w:sz w:val="20"/>
        </w:rPr>
        <w:t>· Registrar el tiempo de diseño con el contador integrado, según el tipo residencial, comercial o por número de paneles.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before="160" w:after="60"/>
      </w:pPr>
      <w:r>
        <w:rPr>
          <w:b/>
          <w:color w:val="1C242E"/>
          <w:sz w:val="21"/>
        </w:rPr>
        <w:t>Fase 2. Entrega interna</w:t>
      </w:r>
    </w:p>
    <w:p>
      <w:pPr>
        <w:spacing w:after="60"/>
        <w:ind w:left="340"/>
      </w:pPr>
      <w:r>
        <w:rPr>
          <w:b/>
          <w:sz w:val="20"/>
        </w:rPr>
        <w:t xml:space="preserve">4. Cargar el render a Trello </w:t>
      </w:r>
      <w:r>
        <w:rPr>
          <w:rFonts w:ascii="Calibri" w:hAnsi="Calibri"/>
          <w:sz w:val="20"/>
        </w:rPr>
        <w:t>· Subir el render y los diagramas a la tarjeta y traspasar a Comercial.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Render y diagramas en Trello</w:t>
      </w:r>
    </w:p>
    <w:p>
      <w:pPr>
        <w:spacing w:before="160" w:after="60"/>
      </w:pPr>
      <w:r>
        <w:rPr>
          <w:b/>
          <w:color w:val="1C242E"/>
          <w:sz w:val="21"/>
        </w:rPr>
        <w:t>Fase 3. Segundo contacto</w:t>
      </w:r>
    </w:p>
    <w:p>
      <w:pPr>
        <w:spacing w:after="60"/>
        <w:ind w:left="340"/>
      </w:pPr>
      <w:r>
        <w:rPr>
          <w:b/>
          <w:sz w:val="20"/>
        </w:rPr>
        <w:t xml:space="preserve">5. Compartir el render con el cliente </w:t>
      </w:r>
      <w:r>
        <w:rPr>
          <w:rFonts w:ascii="Calibri" w:hAnsi="Calibri"/>
          <w:sz w:val="20"/>
        </w:rPr>
        <w:t>· Comercial comparte el render y las notas. Si el cliente pide ajuste, el proyecto vuelve a diseño; si acepta, avanza a trámites e instalación.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Comercial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Aceptación registrada en Trello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8. DIAGRAMA DE FLUJO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542142" cy="684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-ing-03-disen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42142" cy="6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95959"/>
          <w:sz w:val="17"/>
        </w:rPr>
        <w:t>Del diseño del sistema a la aceptación del cliente para trámites e instalación.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9. REGISTROS Y FORMATOS ASOCIADOS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Código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Formato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Trello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Render 3D y diagrama unifilar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Trello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Aceptación del cliente en la tarjeta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10. CONTROL DE CAMBIOS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22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Versión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571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 del cambio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Elaboró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Calibri" w:hAnsi="Calibri"/>
                <w:b w:val="0"/>
                <w:sz w:val="19"/>
              </w:rPr>
              <w:t>1.0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Septiembre 2026</w:t>
            </w:r>
          </w:p>
        </w:tc>
        <w:tc>
          <w:tcPr>
            <w:tcW w:type="dxa" w:w="5712"/>
          </w:tcPr>
          <w:p>
            <w:r/>
            <w:r>
              <w:rPr>
                <w:rFonts w:ascii="Calibri" w:hAnsi="Calibri"/>
                <w:b w:val="0"/>
                <w:sz w:val="19"/>
              </w:rPr>
              <w:t>Emisión inicial. Descompone la fase 7.3 de SOL-PROC-001. Revisión trimestral.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DETA Consultores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11. CONTROL DE FIRMAS</w:t>
      </w:r>
    </w:p>
    <w:p>
      <w:pPr>
        <w:spacing w:after="12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Elaboró</w:t>
              <w:br/>
              <w:t>DETA Consultores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Revisó</w:t>
              <w:br/>
              <w:t>Coordinación de Ingeniería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Aprobó</w:t>
              <w:br/>
              <w:t>Dirección General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SolarPro · Procedimiento de Ingeniería · PRO-ING-03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