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Diseño y Comunicación Audiovisual</w:t>
      </w:r>
    </w:p>
    <w:p>
      <w:pPr>
        <w:jc w:val="center"/>
      </w:pPr>
      <w:r>
        <w:rPr>
          <w:color w:val="F0E528"/>
          <w:sz w:val="24"/>
        </w:rPr>
        <w:t>________</w:t>
      </w:r>
    </w:p>
    <w:p>
      <w:pPr>
        <w:jc w:val="center"/>
      </w:pPr>
      <w:r>
        <w:rPr>
          <w:rFonts w:ascii="Georgia" w:hAnsi="Georgia"/>
          <w:i/>
          <w:color w:val="595959"/>
          <w:sz w:val="26"/>
        </w:rPr>
        <w:t>Perfil de Puesto · SolarPro · Sistema de Gestión de Calidad ISO 9001:2015</w:t>
      </w:r>
    </w:p>
    <w:p>
      <w:pPr>
        <w:spacing w:before="600"/>
        <w:jc w:val="center"/>
      </w:pPr>
      <w:r>
        <w:rPr>
          <w:b/>
          <w:color w:val="1C242E"/>
          <w:sz w:val="22"/>
        </w:rPr>
        <w:t>Soluciones Energéticas JEA S.A. de C.V. (SolarPro)</w:t>
      </w:r>
    </w:p>
    <w:p>
      <w:pPr>
        <w:jc w:val="center"/>
      </w:pPr>
      <w:r>
        <w:rPr>
          <w:color w:val="595959"/>
          <w:sz w:val="20"/>
        </w:rPr>
        <w:t>PER-DCA  ·  Versión 1  ·  8 de septiembre de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PER-DCA</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8 de septiembre de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t>8 de septiembre de 2027</w:t>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Comercial</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Interno</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 (SolarPro)</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Matriz Chihuahua</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8 de septiembre de 2026</w:t>
            </w:r>
          </w:p>
        </w:tc>
        <w:tc>
          <w:tcPr>
            <w:tcW w:type="dxa" w:w="5584"/>
          </w:tcPr>
          <w:p>
            <w:r/>
            <w:r>
              <w:rPr>
                <w:rFonts w:ascii="Calibri" w:hAnsi="Calibri"/>
                <w:b w:val="0"/>
                <w:sz w:val="19"/>
              </w:rPr>
              <w:t>Emisión inicial. Perfil de puesto reconstruido como documento controlado del SGC a partir del perfil vigente del área de Mercadotecnia, con las responsabilidades del SGC del puesto y los indicadores del puesto.</w:t>
            </w:r>
          </w:p>
        </w:tc>
        <w:tc>
          <w:tcPr>
            <w:tcW w:type="dxa" w:w="1596"/>
          </w:tcPr>
          <w:p>
            <w:r/>
            <w:r>
              <w:rPr>
                <w:rFonts w:ascii="Calibri" w:hAnsi="Calibri"/>
                <w:b w:val="0"/>
                <w:sz w:val="19"/>
              </w:rPr>
              <w:t>DETA Consultores</w:t>
            </w:r>
          </w:p>
        </w:tc>
      </w:tr>
    </w:tbl>
    <w:p>
      <w:r>
        <w:br w:type="page"/>
      </w:r>
    </w:p>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1. Objetivo del puesto</w:t>
      </w:r>
    </w:p>
    <w:p>
      <w:pPr>
        <w:spacing w:after="40"/>
      </w:pPr>
      <w:r>
        <w:rPr>
          <w:rFonts w:ascii="Calibri" w:hAnsi="Calibri"/>
          <w:color w:val="1C242E"/>
          <w:sz w:val="20"/>
        </w:rPr>
        <w:t>2. Áreas de efectividad</w:t>
      </w:r>
    </w:p>
    <w:p>
      <w:pPr>
        <w:spacing w:after="40"/>
      </w:pPr>
      <w:r>
        <w:rPr>
          <w:rFonts w:ascii="Calibri" w:hAnsi="Calibri"/>
          <w:color w:val="1C242E"/>
          <w:sz w:val="20"/>
        </w:rPr>
        <w:t>3. Responsabilidades del SGC del puesto</w:t>
      </w:r>
    </w:p>
    <w:p>
      <w:pPr>
        <w:spacing w:after="40"/>
      </w:pPr>
      <w:r>
        <w:rPr>
          <w:rFonts w:ascii="Calibri" w:hAnsi="Calibri"/>
          <w:color w:val="1C242E"/>
          <w:sz w:val="20"/>
        </w:rPr>
        <w:t>4. Competencias</w:t>
      </w:r>
    </w:p>
    <w:p>
      <w:pPr>
        <w:spacing w:after="40"/>
      </w:pPr>
      <w:r>
        <w:rPr>
          <w:rFonts w:ascii="Calibri" w:hAnsi="Calibri"/>
          <w:color w:val="1C242E"/>
          <w:sz w:val="20"/>
        </w:rPr>
        <w:t>5. Requisitos del puesto</w:t>
      </w:r>
    </w:p>
    <w:p>
      <w:pPr>
        <w:spacing w:after="40"/>
      </w:pPr>
      <w:r>
        <w:rPr>
          <w:rFonts w:ascii="Calibri" w:hAnsi="Calibri"/>
          <w:color w:val="1C242E"/>
          <w:sz w:val="20"/>
        </w:rPr>
        <w:t>6. Indicadores del puesto (KPIs)</w:t>
      </w:r>
    </w:p>
    <w:p>
      <w:pPr>
        <w:spacing w:after="40"/>
      </w:pPr>
      <w:r>
        <w:rPr>
          <w:rFonts w:ascii="Calibri" w:hAnsi="Calibri"/>
          <w:color w:val="1C242E"/>
          <w:sz w:val="20"/>
        </w:rPr>
        <w:t>7. Relaciones y línea de reporte</w:t>
      </w:r>
    </w:p>
    <w:p>
      <w:r>
        <w:br w:type="page"/>
      </w:r>
    </w:p>
    <w:p>
      <w:pPr>
        <w:keepNext/>
        <w:spacing w:before="280" w:after="80"/>
        <w:pBdr>
          <w:bottom w:val="single" w:sz="8" w:color="F0E528"/>
        </w:pBdr>
      </w:pPr>
      <w:r>
        <w:rPr>
          <w:rFonts w:ascii="Georgia" w:hAnsi="Georgia"/>
          <w:b/>
          <w:color w:val="0056B4"/>
          <w:sz w:val="26"/>
        </w:rPr>
        <w:t>1. Objetivo del puesto</w:t>
      </w:r>
    </w:p>
    <w:p>
      <w:pPr>
        <w:keepNext/>
        <w:spacing w:before="200" w:after="60"/>
      </w:pPr>
      <w:r>
        <w:rPr>
          <w:rFonts w:ascii="Georgia" w:hAnsi="Georgia"/>
          <w:b/>
          <w:color w:val="1C242E"/>
          <w:sz w:val="22"/>
        </w:rPr>
        <w:t>Propósito central</w:t>
      </w:r>
    </w:p>
    <w:p>
      <w:pPr>
        <w:spacing w:after="120"/>
      </w:pPr>
      <w:r>
        <w:rPr>
          <w:rFonts w:ascii="Calibri" w:hAnsi="Calibri"/>
          <w:color w:val="1C242E"/>
          <w:sz w:val="21"/>
        </w:rPr>
        <w:t>Conceptualizar y producir materiales visuales y audiovisuales de alto impacto que comuniquen la propuesta de valor de SolarPro, fortalecer la identidad de marca y optimizar la generación de leads mediante contenido estratégico para las campañas digitales.</w:t>
      </w:r>
    </w:p>
    <w:p>
      <w:pPr>
        <w:keepNext/>
        <w:spacing w:before="280" w:after="80"/>
        <w:pBdr>
          <w:bottom w:val="single" w:sz="8" w:color="F0E528"/>
        </w:pBdr>
      </w:pPr>
      <w:r>
        <w:rPr>
          <w:rFonts w:ascii="Georgia" w:hAnsi="Georgia"/>
          <w:b/>
          <w:color w:val="0056B4"/>
          <w:sz w:val="26"/>
        </w:rPr>
        <w:t>2. Áreas de efectividad</w:t>
      </w:r>
    </w:p>
    <w:p>
      <w:pPr>
        <w:spacing w:after="120"/>
      </w:pPr>
      <w:r>
        <w:rPr>
          <w:rFonts w:ascii="Calibri" w:hAnsi="Calibri"/>
          <w:color w:val="1C242E"/>
          <w:sz w:val="21"/>
        </w:rPr>
        <w:t>El desempeño del puesto se distribuye en cuatro áreas de efectividad. El perfil vigente no asigna pesos a estas áreas; los pesos se definen y se validan con la Dirección.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2792"/>
            <w:shd w:val="clear" w:fill="0056B4"/>
          </w:tcPr>
          <w:p>
            <w:pPr>
              <w:jc w:val="center"/>
            </w:pPr>
            <w:r/>
            <w:r>
              <w:rPr>
                <w:rFonts w:ascii="Calibri" w:hAnsi="Calibri"/>
                <w:b/>
                <w:color w:val="FFFFFF"/>
                <w:sz w:val="17"/>
              </w:rPr>
              <w:t>Área de efectividad</w:t>
            </w:r>
          </w:p>
        </w:tc>
        <w:tc>
          <w:tcPr>
            <w:tcW w:type="dxa" w:w="1396"/>
            <w:shd w:val="clear" w:fill="0056B4"/>
          </w:tcPr>
          <w:p>
            <w:pPr>
              <w:jc w:val="center"/>
            </w:pPr>
            <w:r/>
            <w:r>
              <w:rPr>
                <w:rFonts w:ascii="Calibri" w:hAnsi="Calibri"/>
                <w:b/>
                <w:color w:val="FFFFFF"/>
                <w:sz w:val="17"/>
              </w:rPr>
              <w:t>Peso</w:t>
            </w:r>
          </w:p>
        </w:tc>
        <w:tc>
          <w:tcPr>
            <w:tcW w:type="dxa" w:w="5784"/>
            <w:shd w:val="clear" w:fill="0056B4"/>
          </w:tcPr>
          <w:p>
            <w:pPr>
              <w:jc w:val="center"/>
            </w:pPr>
            <w:r/>
            <w:r>
              <w:rPr>
                <w:rFonts w:ascii="Calibri" w:hAnsi="Calibri"/>
                <w:b/>
                <w:color w:val="FFFFFF"/>
                <w:sz w:val="17"/>
              </w:rPr>
              <w:t>Descripción</w:t>
            </w:r>
          </w:p>
        </w:tc>
      </w:tr>
      <w:tr>
        <w:tc>
          <w:tcPr>
            <w:tcW w:type="dxa" w:w="2792"/>
          </w:tcPr>
          <w:p>
            <w:r/>
            <w:r>
              <w:rPr>
                <w:rFonts w:ascii="Calibri" w:hAnsi="Calibri"/>
                <w:b w:val="0"/>
                <w:sz w:val="19"/>
              </w:rPr>
              <w:t>Producción audiovisual</w:t>
            </w:r>
          </w:p>
        </w:tc>
        <w:tc>
          <w:tcPr>
            <w:tcW w:type="dxa" w:w="1396"/>
          </w:tcPr>
          <w:p>
            <w:r/>
            <w:r>
              <w:rPr>
                <w:rFonts w:ascii="Calibri" w:hAnsi="Calibri"/>
                <w:b w:val="0"/>
                <w:sz w:val="19"/>
              </w:rPr>
              <w:t>[por validar]</w:t>
            </w:r>
          </w:p>
        </w:tc>
        <w:tc>
          <w:tcPr>
            <w:tcW w:type="dxa" w:w="5784"/>
          </w:tcPr>
          <w:p>
            <w:r/>
            <w:r>
              <w:rPr>
                <w:rFonts w:ascii="Calibri" w:hAnsi="Calibri"/>
                <w:b w:val="0"/>
                <w:sz w:val="19"/>
              </w:rPr>
              <w:t>Grabar, editar y post-producir contenido en video optimizado para las distintas plataformas (TikTok, Instagram y YouTube); entregar los videos editados en sus distintos formatos: Reels, testimoniales y corporativos; crear guiones visuales (storyboards) que faciliten la comunicación técnica de los sistemas fotovoltaicos; realizar la corrección de color y la edición de audio para asegurar calidad profesional en cada pieza.</w:t>
            </w:r>
          </w:p>
        </w:tc>
      </w:tr>
      <w:tr>
        <w:tc>
          <w:tcPr>
            <w:tcW w:type="dxa" w:w="2792"/>
          </w:tcPr>
          <w:p>
            <w:r/>
            <w:r>
              <w:rPr>
                <w:rFonts w:ascii="Calibri" w:hAnsi="Calibri"/>
                <w:b w:val="0"/>
                <w:sz w:val="19"/>
              </w:rPr>
              <w:t>Diseño gráfico publicitario</w:t>
            </w:r>
          </w:p>
        </w:tc>
        <w:tc>
          <w:tcPr>
            <w:tcW w:type="dxa" w:w="1396"/>
          </w:tcPr>
          <w:p>
            <w:r/>
            <w:r>
              <w:rPr>
                <w:rFonts w:ascii="Calibri" w:hAnsi="Calibri"/>
                <w:b w:val="0"/>
                <w:sz w:val="19"/>
              </w:rPr>
              <w:t>[por validar]</w:t>
            </w:r>
          </w:p>
        </w:tc>
        <w:tc>
          <w:tcPr>
            <w:tcW w:type="dxa" w:w="5784"/>
          </w:tcPr>
          <w:p>
            <w:r/>
            <w:r>
              <w:rPr>
                <w:rFonts w:ascii="Calibri" w:hAnsi="Calibri"/>
                <w:b w:val="0"/>
                <w:sz w:val="19"/>
              </w:rPr>
              <w:t>Diseñar anuncios (banners y carruseles) y gráficos para pauta digital y redes sociales, enfocados en la conversión de leads industriales y residenciales; crear materiales gráficos de soporte de ventas (presentaciones, folletos digitales e infografías); adaptar los creativos con base en las métricas de marketing para mejorar el rendimiento de las campañas.</w:t>
            </w:r>
          </w:p>
        </w:tc>
      </w:tr>
      <w:tr>
        <w:tc>
          <w:tcPr>
            <w:tcW w:type="dxa" w:w="2792"/>
          </w:tcPr>
          <w:p>
            <w:r/>
            <w:r>
              <w:rPr>
                <w:rFonts w:ascii="Calibri" w:hAnsi="Calibri"/>
                <w:b w:val="0"/>
                <w:sz w:val="19"/>
              </w:rPr>
              <w:t>Cobertura en sitio</w:t>
            </w:r>
          </w:p>
        </w:tc>
        <w:tc>
          <w:tcPr>
            <w:tcW w:type="dxa" w:w="1396"/>
          </w:tcPr>
          <w:p>
            <w:r/>
            <w:r>
              <w:rPr>
                <w:rFonts w:ascii="Calibri" w:hAnsi="Calibri"/>
                <w:b w:val="0"/>
                <w:sz w:val="19"/>
              </w:rPr>
              <w:t>[por validar]</w:t>
            </w:r>
          </w:p>
        </w:tc>
        <w:tc>
          <w:tcPr>
            <w:tcW w:type="dxa" w:w="5784"/>
          </w:tcPr>
          <w:p>
            <w:r/>
            <w:r>
              <w:rPr>
                <w:rFonts w:ascii="Calibri" w:hAnsi="Calibri"/>
                <w:b w:val="0"/>
                <w:sz w:val="19"/>
              </w:rPr>
              <w:t>Acudir a instalaciones de SolarPro en Chihuahua y plazas aledañas para documentar el proceso de montaje; realizar sesiones fotográficas y de video de testimoniales con clientes finales (casos de éxito); asegurar que el contenido capture la seguridad, la tecnología y el profesionalismo de las cuadrillas de operaciones.</w:t>
            </w:r>
          </w:p>
        </w:tc>
      </w:tr>
      <w:tr>
        <w:tc>
          <w:tcPr>
            <w:tcW w:type="dxa" w:w="2792"/>
          </w:tcPr>
          <w:p>
            <w:r/>
            <w:r>
              <w:rPr>
                <w:rFonts w:ascii="Calibri" w:hAnsi="Calibri"/>
                <w:b w:val="0"/>
                <w:sz w:val="19"/>
              </w:rPr>
              <w:t>Gestión de identidad de marca</w:t>
            </w:r>
          </w:p>
        </w:tc>
        <w:tc>
          <w:tcPr>
            <w:tcW w:type="dxa" w:w="1396"/>
          </w:tcPr>
          <w:p>
            <w:r/>
            <w:r>
              <w:rPr>
                <w:rFonts w:ascii="Calibri" w:hAnsi="Calibri"/>
                <w:b w:val="0"/>
                <w:sz w:val="19"/>
              </w:rPr>
              <w:t>[por validar]</w:t>
            </w:r>
          </w:p>
        </w:tc>
        <w:tc>
          <w:tcPr>
            <w:tcW w:type="dxa" w:w="5784"/>
          </w:tcPr>
          <w:p>
            <w:r/>
            <w:r>
              <w:rPr>
                <w:rFonts w:ascii="Calibri" w:hAnsi="Calibri"/>
                <w:b w:val="0"/>
                <w:sz w:val="19"/>
              </w:rPr>
              <w:t>Vigilar que toda comunicación visual interna y externa respete los colores, las tipografías y los valores de SolarPro; administrar el repositorio digital de activos (DAM) para que el equipo comercial acceda a imágenes vigentes; proponer mejoras estéticas y tendencias visuales que mantengan a la marca a la vanguardia del sector energético.</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El perfil original no asigna pesos a las áreas de efectividad. La suma de los pesos debe ser del cien por ciento una vez validada con la Dirección. [Pesos por validar]</w:t>
            </w:r>
          </w:p>
        </w:tc>
      </w:tr>
    </w:tbl>
    <w:p>
      <w:pPr>
        <w:spacing w:after="40"/>
      </w:pPr>
    </w:p>
    <w:p>
      <w:pPr>
        <w:keepNext/>
        <w:spacing w:before="280" w:after="80"/>
        <w:pBdr>
          <w:bottom w:val="single" w:sz="8" w:color="F0E528"/>
        </w:pBdr>
      </w:pPr>
      <w:r>
        <w:rPr>
          <w:rFonts w:ascii="Georgia" w:hAnsi="Georgia"/>
          <w:b/>
          <w:color w:val="0056B4"/>
          <w:sz w:val="26"/>
        </w:rPr>
        <w:t>3. Responsabilidades del SGC del puesto</w:t>
      </w:r>
    </w:p>
    <w:p>
      <w:pPr>
        <w:spacing w:after="120"/>
      </w:pPr>
      <w:r>
        <w:rPr>
          <w:rFonts w:ascii="Calibri" w:hAnsi="Calibri"/>
          <w:color w:val="1C242E"/>
          <w:sz w:val="21"/>
        </w:rPr>
        <w:t>Además de sus funciones operativas, el puesto asume las siguientes responsabilidades dentro del Sistema de Gestión de Calidad de SolarPro, conforme al requisito 7.2 de la norma ISO 9001:2015.</w:t>
      </w:r>
    </w:p>
    <w:p>
      <w:pPr>
        <w:pStyle w:val="ListBullet"/>
      </w:pPr>
      <w:r>
        <w:rPr>
          <w:rFonts w:ascii="Calibri" w:hAnsi="Calibri"/>
          <w:sz w:val="20"/>
        </w:rPr>
        <w:t>Seguir los procedimientos y lineamientos de marketing y comunicación aplicables del SGC, así como el manual de identidad de marca de SolarPro.</w:t>
      </w:r>
    </w:p>
    <w:p>
      <w:pPr>
        <w:pStyle w:val="ListBullet"/>
      </w:pPr>
      <w:r>
        <w:rPr>
          <w:rFonts w:ascii="Calibri" w:hAnsi="Calibri"/>
          <w:sz w:val="20"/>
        </w:rPr>
        <w:t>Verificar que cada pieza audiovisual y gráfica cumpla la guía de estilo y el manual de marca antes de su publicación, y dejar evidencia de la aprobación.</w:t>
      </w:r>
    </w:p>
    <w:p>
      <w:pPr>
        <w:pStyle w:val="ListBullet"/>
      </w:pPr>
      <w:r>
        <w:rPr>
          <w:rFonts w:ascii="Calibri" w:hAnsi="Calibri"/>
          <w:sz w:val="20"/>
        </w:rPr>
        <w:t>Generar y resguardar los registros propios de su área: plan de contenidos, banco de fotos y clips de instalaciones reales, guía de estilo actualizada y biblioteca de piezas aprobadas.</w:t>
      </w:r>
    </w:p>
    <w:p>
      <w:pPr>
        <w:pStyle w:val="ListBullet"/>
      </w:pPr>
      <w:r>
        <w:rPr>
          <w:rFonts w:ascii="Calibri" w:hAnsi="Calibri"/>
          <w:sz w:val="20"/>
        </w:rPr>
        <w:t>Administrar el repositorio digital de activos (DAM) con versiones vigentes y trazables, y evitar el uso de material caducado o no autorizado por el equipo comercial.</w:t>
      </w:r>
    </w:p>
    <w:p>
      <w:pPr>
        <w:pStyle w:val="ListBullet"/>
      </w:pPr>
      <w:r>
        <w:rPr>
          <w:rFonts w:ascii="Calibri" w:hAnsi="Calibri"/>
          <w:sz w:val="20"/>
        </w:rPr>
        <w:t>Resguardar los derechos y las autorizaciones de uso de imagen de clientes y colaboradores en testimoniales y casos de éxito, conforme a las reglas de la organización.</w:t>
      </w:r>
    </w:p>
    <w:p>
      <w:pPr>
        <w:pStyle w:val="ListBullet"/>
      </w:pPr>
      <w:r>
        <w:rPr>
          <w:rFonts w:ascii="Calibri" w:hAnsi="Calibri"/>
          <w:sz w:val="20"/>
        </w:rPr>
        <w:t>Reportar y atender las no conformidades detectadas en su proceso, como piezas fuera del manual de marca o entregas posteriores a la fecha de campaña, y proponer acciones de mejora.</w:t>
      </w:r>
    </w:p>
    <w:p>
      <w:pPr>
        <w:pStyle w:val="ListBullet"/>
      </w:pPr>
      <w:r>
        <w:rPr>
          <w:rFonts w:ascii="Calibri" w:hAnsi="Calibri"/>
          <w:sz w:val="20"/>
        </w:rPr>
        <w:t>Cumplir la política y los objetivos de calidad de SolarPro en cada pieza y campaña.</w:t>
      </w:r>
    </w:p>
    <w:p>
      <w:pPr>
        <w:pStyle w:val="ListBullet"/>
      </w:pPr>
      <w:r>
        <w:rPr>
          <w:rFonts w:ascii="Calibri" w:hAnsi="Calibri"/>
          <w:sz w:val="20"/>
        </w:rPr>
        <w:t>Participar en las auditorías internas y en las actividades de mejora continua del proceso de marketing y comunicación.</w:t>
      </w:r>
    </w:p>
    <w:p>
      <w:pPr>
        <w:keepNext/>
        <w:spacing w:before="280" w:after="80"/>
        <w:pBdr>
          <w:bottom w:val="single" w:sz="8" w:color="F0E528"/>
        </w:pBdr>
      </w:pPr>
      <w:r>
        <w:rPr>
          <w:rFonts w:ascii="Georgia" w:hAnsi="Georgia"/>
          <w:b/>
          <w:color w:val="0056B4"/>
          <w:sz w:val="26"/>
        </w:rPr>
        <w:t>4. Competencias</w:t>
      </w:r>
    </w:p>
    <w:p>
      <w:pPr>
        <w:keepNext/>
        <w:spacing w:before="200" w:after="60"/>
      </w:pPr>
      <w:r>
        <w:rPr>
          <w:rFonts w:ascii="Georgia" w:hAnsi="Georgia"/>
          <w:b/>
          <w:color w:val="1C242E"/>
          <w:sz w:val="22"/>
        </w:rPr>
        <w:t>Competencias blandas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2393"/>
            <w:shd w:val="clear" w:fill="0056B4"/>
          </w:tcPr>
          <w:p>
            <w:pPr>
              <w:jc w:val="center"/>
            </w:pPr>
            <w:r/>
            <w:r>
              <w:rPr>
                <w:rFonts w:ascii="Calibri" w:hAnsi="Calibri"/>
                <w:b/>
                <w:color w:val="FFFFFF"/>
                <w:sz w:val="17"/>
              </w:rPr>
              <w:t>Competencia</w:t>
            </w:r>
          </w:p>
        </w:tc>
        <w:tc>
          <w:tcPr>
            <w:tcW w:type="dxa" w:w="5185"/>
            <w:shd w:val="clear" w:fill="0056B4"/>
          </w:tcPr>
          <w:p>
            <w:pPr>
              <w:jc w:val="center"/>
            </w:pPr>
            <w:r/>
            <w:r>
              <w:rPr>
                <w:rFonts w:ascii="Calibri" w:hAnsi="Calibri"/>
                <w:b/>
                <w:color w:val="FFFFFF"/>
                <w:sz w:val="17"/>
              </w:rPr>
              <w:t>Descripción</w:t>
            </w:r>
          </w:p>
        </w:tc>
        <w:tc>
          <w:tcPr>
            <w:tcW w:type="dxa" w:w="2393"/>
            <w:shd w:val="clear" w:fill="0056B4"/>
          </w:tcPr>
          <w:p>
            <w:pPr>
              <w:jc w:val="center"/>
            </w:pPr>
            <w:r/>
            <w:r>
              <w:rPr>
                <w:rFonts w:ascii="Calibri" w:hAnsi="Calibri"/>
                <w:b/>
                <w:color w:val="FFFFFF"/>
                <w:sz w:val="17"/>
              </w:rPr>
              <w:t>Nivel requerido [por validar]</w:t>
            </w:r>
          </w:p>
        </w:tc>
      </w:tr>
      <w:tr>
        <w:tc>
          <w:tcPr>
            <w:tcW w:type="dxa" w:w="2393"/>
          </w:tcPr>
          <w:p>
            <w:r/>
            <w:r>
              <w:rPr>
                <w:rFonts w:ascii="Calibri" w:hAnsi="Calibri"/>
                <w:b w:val="0"/>
                <w:sz w:val="19"/>
              </w:rPr>
              <w:t>Creatividad estratégica</w:t>
            </w:r>
          </w:p>
        </w:tc>
        <w:tc>
          <w:tcPr>
            <w:tcW w:type="dxa" w:w="5185"/>
          </w:tcPr>
          <w:p>
            <w:r/>
            <w:r>
              <w:rPr>
                <w:rFonts w:ascii="Calibri" w:hAnsi="Calibri"/>
                <w:b w:val="0"/>
                <w:sz w:val="19"/>
              </w:rPr>
              <w:t>Proponer soluciones visuales que resuelvan problemas comerciales.</w:t>
            </w:r>
          </w:p>
        </w:tc>
        <w:tc>
          <w:tcPr>
            <w:tcW w:type="dxa" w:w="2393"/>
          </w:tcPr>
          <w:p>
            <w:r/>
            <w:r>
              <w:rPr>
                <w:rFonts w:ascii="Calibri" w:hAnsi="Calibri"/>
                <w:b w:val="0"/>
                <w:sz w:val="19"/>
              </w:rPr>
              <w:t>Alto</w:t>
            </w:r>
          </w:p>
        </w:tc>
      </w:tr>
      <w:tr>
        <w:tc>
          <w:tcPr>
            <w:tcW w:type="dxa" w:w="2393"/>
          </w:tcPr>
          <w:p>
            <w:r/>
            <w:r>
              <w:rPr>
                <w:rFonts w:ascii="Calibri" w:hAnsi="Calibri"/>
                <w:b w:val="0"/>
                <w:sz w:val="19"/>
              </w:rPr>
              <w:t>Atención al detalle</w:t>
            </w:r>
          </w:p>
        </w:tc>
        <w:tc>
          <w:tcPr>
            <w:tcW w:type="dxa" w:w="5185"/>
          </w:tcPr>
          <w:p>
            <w:r/>
            <w:r>
              <w:rPr>
                <w:rFonts w:ascii="Calibri" w:hAnsi="Calibri"/>
                <w:b w:val="0"/>
                <w:sz w:val="19"/>
              </w:rPr>
              <w:t>Rigor en la estética y en la correcta aplicación de la marca.</w:t>
            </w:r>
          </w:p>
        </w:tc>
        <w:tc>
          <w:tcPr>
            <w:tcW w:type="dxa" w:w="2393"/>
          </w:tcPr>
          <w:p>
            <w:r/>
            <w:r>
              <w:rPr>
                <w:rFonts w:ascii="Calibri" w:hAnsi="Calibri"/>
                <w:b w:val="0"/>
                <w:sz w:val="19"/>
              </w:rPr>
              <w:t>Alto</w:t>
            </w:r>
          </w:p>
        </w:tc>
      </w:tr>
      <w:tr>
        <w:tc>
          <w:tcPr>
            <w:tcW w:type="dxa" w:w="2393"/>
          </w:tcPr>
          <w:p>
            <w:r/>
            <w:r>
              <w:rPr>
                <w:rFonts w:ascii="Calibri" w:hAnsi="Calibri"/>
                <w:b w:val="0"/>
                <w:sz w:val="19"/>
              </w:rPr>
              <w:t>Adaptabilidad</w:t>
            </w:r>
          </w:p>
        </w:tc>
        <w:tc>
          <w:tcPr>
            <w:tcW w:type="dxa" w:w="5185"/>
          </w:tcPr>
          <w:p>
            <w:r/>
            <w:r>
              <w:rPr>
                <w:rFonts w:ascii="Calibri" w:hAnsi="Calibri"/>
                <w:b w:val="0"/>
                <w:sz w:val="19"/>
              </w:rPr>
              <w:t>Trabajar en campo (obras) y en oficina con la misma efectividad.</w:t>
            </w:r>
          </w:p>
        </w:tc>
        <w:tc>
          <w:tcPr>
            <w:tcW w:type="dxa" w:w="2393"/>
          </w:tcPr>
          <w:p>
            <w:r/>
            <w:r>
              <w:rPr>
                <w:rFonts w:ascii="Calibri" w:hAnsi="Calibri"/>
                <w:b w:val="0"/>
                <w:sz w:val="19"/>
              </w:rPr>
              <w:t>Alto</w:t>
            </w:r>
          </w:p>
        </w:tc>
      </w:tr>
      <w:tr>
        <w:tc>
          <w:tcPr>
            <w:tcW w:type="dxa" w:w="2393"/>
          </w:tcPr>
          <w:p>
            <w:r/>
            <w:r>
              <w:rPr>
                <w:rFonts w:ascii="Calibri" w:hAnsi="Calibri"/>
                <w:b w:val="0"/>
                <w:sz w:val="19"/>
              </w:rPr>
              <w:t>Gestión del tiempo</w:t>
            </w:r>
          </w:p>
        </w:tc>
        <w:tc>
          <w:tcPr>
            <w:tcW w:type="dxa" w:w="5185"/>
          </w:tcPr>
          <w:p>
            <w:r/>
            <w:r>
              <w:rPr>
                <w:rFonts w:ascii="Calibri" w:hAnsi="Calibri"/>
                <w:b w:val="0"/>
                <w:sz w:val="19"/>
              </w:rPr>
              <w:t>Cumplir de forma estricta las fechas de entrega para los lanzamientos de campaña.</w:t>
            </w:r>
          </w:p>
        </w:tc>
        <w:tc>
          <w:tcPr>
            <w:tcW w:type="dxa" w:w="2393"/>
          </w:tcPr>
          <w:p>
            <w:r/>
            <w:r>
              <w:rPr>
                <w:rFonts w:ascii="Calibri" w:hAnsi="Calibri"/>
                <w:b w:val="0"/>
                <w:sz w:val="19"/>
              </w:rPr>
              <w:t>Alto</w:t>
            </w:r>
          </w:p>
        </w:tc>
      </w:tr>
      <w:tr>
        <w:tc>
          <w:tcPr>
            <w:tcW w:type="dxa" w:w="2393"/>
          </w:tcPr>
          <w:p>
            <w:r/>
            <w:r>
              <w:rPr>
                <w:rFonts w:ascii="Calibri" w:hAnsi="Calibri"/>
                <w:b w:val="0"/>
                <w:sz w:val="19"/>
              </w:rPr>
              <w:t>Trabajo en equipo</w:t>
            </w:r>
          </w:p>
        </w:tc>
        <w:tc>
          <w:tcPr>
            <w:tcW w:type="dxa" w:w="5185"/>
          </w:tcPr>
          <w:p>
            <w:r/>
            <w:r>
              <w:rPr>
                <w:rFonts w:ascii="Calibri" w:hAnsi="Calibri"/>
                <w:b w:val="0"/>
                <w:sz w:val="19"/>
              </w:rPr>
              <w:t>Colaborar de forma constante con marketing e ingeniería para validar los datos técnicos.</w:t>
            </w:r>
          </w:p>
        </w:tc>
        <w:tc>
          <w:tcPr>
            <w:tcW w:type="dxa" w:w="2393"/>
          </w:tcPr>
          <w:p>
            <w:r/>
            <w:r>
              <w:rPr>
                <w:rFonts w:ascii="Calibri" w:hAnsi="Calibri"/>
                <w:b w:val="0"/>
                <w:sz w:val="19"/>
              </w:rPr>
              <w:t>Alto</w:t>
            </w:r>
          </w:p>
        </w:tc>
      </w:tr>
    </w:tbl>
    <w:p>
      <w:pPr>
        <w:keepNext/>
        <w:spacing w:before="200" w:after="60"/>
      </w:pPr>
      <w:r>
        <w:rPr>
          <w:rFonts w:ascii="Georgia" w:hAnsi="Georgia"/>
          <w:b/>
          <w:color w:val="1C242E"/>
          <w:sz w:val="22"/>
        </w:rPr>
        <w:t>Competencias técnicas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6183"/>
            <w:shd w:val="clear" w:fill="0056B4"/>
          </w:tcPr>
          <w:p>
            <w:pPr>
              <w:jc w:val="center"/>
            </w:pPr>
            <w:r/>
            <w:r>
              <w:rPr>
                <w:rFonts w:ascii="Calibri" w:hAnsi="Calibri"/>
                <w:b/>
                <w:color w:val="FFFFFF"/>
                <w:sz w:val="17"/>
              </w:rPr>
              <w:t>Competencia</w:t>
            </w:r>
          </w:p>
        </w:tc>
        <w:tc>
          <w:tcPr>
            <w:tcW w:type="dxa" w:w="3789"/>
            <w:shd w:val="clear" w:fill="0056B4"/>
          </w:tcPr>
          <w:p>
            <w:pPr>
              <w:jc w:val="center"/>
            </w:pPr>
            <w:r/>
            <w:r>
              <w:rPr>
                <w:rFonts w:ascii="Calibri" w:hAnsi="Calibri"/>
                <w:b/>
                <w:color w:val="FFFFFF"/>
                <w:sz w:val="17"/>
              </w:rPr>
              <w:t>Nivel requerido [por validar]</w:t>
            </w:r>
          </w:p>
        </w:tc>
      </w:tr>
      <w:tr>
        <w:tc>
          <w:tcPr>
            <w:tcW w:type="dxa" w:w="6183"/>
          </w:tcPr>
          <w:p>
            <w:r/>
            <w:r>
              <w:rPr>
                <w:rFonts w:ascii="Calibri" w:hAnsi="Calibri"/>
                <w:b w:val="0"/>
                <w:sz w:val="19"/>
              </w:rPr>
              <w:t>Edición de video (Adobe Premiere y After Effects)</w:t>
            </w:r>
          </w:p>
        </w:tc>
        <w:tc>
          <w:tcPr>
            <w:tcW w:type="dxa" w:w="3789"/>
          </w:tcPr>
          <w:p>
            <w:r/>
            <w:r>
              <w:rPr>
                <w:rFonts w:ascii="Calibri" w:hAnsi="Calibri"/>
                <w:b w:val="0"/>
                <w:sz w:val="19"/>
              </w:rPr>
              <w:t>Alto</w:t>
            </w:r>
          </w:p>
        </w:tc>
      </w:tr>
      <w:tr>
        <w:tc>
          <w:tcPr>
            <w:tcW w:type="dxa" w:w="6183"/>
          </w:tcPr>
          <w:p>
            <w:r/>
            <w:r>
              <w:rPr>
                <w:rFonts w:ascii="Calibri" w:hAnsi="Calibri"/>
                <w:b w:val="0"/>
                <w:sz w:val="19"/>
              </w:rPr>
              <w:t>Diseño gráfico (Adobe Illustrator y Photoshop)</w:t>
            </w:r>
          </w:p>
        </w:tc>
        <w:tc>
          <w:tcPr>
            <w:tcW w:type="dxa" w:w="3789"/>
          </w:tcPr>
          <w:p>
            <w:r/>
            <w:r>
              <w:rPr>
                <w:rFonts w:ascii="Calibri" w:hAnsi="Calibri"/>
                <w:b w:val="0"/>
                <w:sz w:val="19"/>
              </w:rPr>
              <w:t>Alto</w:t>
            </w:r>
          </w:p>
        </w:tc>
      </w:tr>
      <w:tr>
        <w:tc>
          <w:tcPr>
            <w:tcW w:type="dxa" w:w="6183"/>
          </w:tcPr>
          <w:p>
            <w:r/>
            <w:r>
              <w:rPr>
                <w:rFonts w:ascii="Calibri" w:hAnsi="Calibri"/>
                <w:b w:val="0"/>
                <w:sz w:val="19"/>
              </w:rPr>
              <w:t>Técnicas de iluminación y encuadre</w:t>
            </w:r>
          </w:p>
        </w:tc>
        <w:tc>
          <w:tcPr>
            <w:tcW w:type="dxa" w:w="3789"/>
          </w:tcPr>
          <w:p>
            <w:r/>
            <w:r>
              <w:rPr>
                <w:rFonts w:ascii="Calibri" w:hAnsi="Calibri"/>
                <w:b w:val="0"/>
                <w:sz w:val="19"/>
              </w:rPr>
              <w:t>Alto</w:t>
            </w:r>
          </w:p>
        </w:tc>
      </w:tr>
      <w:tr>
        <w:tc>
          <w:tcPr>
            <w:tcW w:type="dxa" w:w="6183"/>
          </w:tcPr>
          <w:p>
            <w:r/>
            <w:r>
              <w:rPr>
                <w:rFonts w:ascii="Calibri" w:hAnsi="Calibri"/>
                <w:b w:val="0"/>
                <w:sz w:val="19"/>
              </w:rPr>
              <w:t>Manejo de equipo fotográfico y de drones</w:t>
            </w:r>
          </w:p>
        </w:tc>
        <w:tc>
          <w:tcPr>
            <w:tcW w:type="dxa" w:w="3789"/>
          </w:tcPr>
          <w:p>
            <w:r/>
            <w:r>
              <w:rPr>
                <w:rFonts w:ascii="Calibri" w:hAnsi="Calibri"/>
                <w:b w:val="0"/>
                <w:sz w:val="19"/>
              </w:rPr>
              <w:t>Alto</w:t>
            </w:r>
          </w:p>
        </w:tc>
      </w:tr>
      <w:tr>
        <w:tc>
          <w:tcPr>
            <w:tcW w:type="dxa" w:w="6183"/>
          </w:tcPr>
          <w:p>
            <w:r/>
            <w:r>
              <w:rPr>
                <w:rFonts w:ascii="Calibri" w:hAnsi="Calibri"/>
                <w:b w:val="0"/>
                <w:sz w:val="19"/>
              </w:rPr>
              <w:t>Fotografía de arquitectura e industrial</w:t>
            </w:r>
          </w:p>
        </w:tc>
        <w:tc>
          <w:tcPr>
            <w:tcW w:type="dxa" w:w="3789"/>
          </w:tcPr>
          <w:p>
            <w:r/>
            <w:r>
              <w:rPr>
                <w:rFonts w:ascii="Calibri" w:hAnsi="Calibri"/>
                <w:b w:val="0"/>
                <w:sz w:val="19"/>
              </w:rPr>
              <w:t>Alto</w:t>
            </w:r>
          </w:p>
        </w:tc>
      </w:tr>
      <w:tr>
        <w:tc>
          <w:tcPr>
            <w:tcW w:type="dxa" w:w="6183"/>
          </w:tcPr>
          <w:p>
            <w:r/>
            <w:r>
              <w:rPr>
                <w:rFonts w:ascii="Calibri" w:hAnsi="Calibri"/>
                <w:b w:val="0"/>
                <w:sz w:val="19"/>
              </w:rPr>
              <w:t>Creación de manuales de identidad visual</w:t>
            </w:r>
          </w:p>
        </w:tc>
        <w:tc>
          <w:tcPr>
            <w:tcW w:type="dxa" w:w="3789"/>
          </w:tcPr>
          <w:p>
            <w:r/>
            <w:r>
              <w:rPr>
                <w:rFonts w:ascii="Calibri" w:hAnsi="Calibri"/>
                <w:b w:val="0"/>
                <w:sz w:val="19"/>
              </w:rPr>
              <w:t>Medio</w:t>
            </w:r>
          </w:p>
        </w:tc>
      </w:tr>
      <w:tr>
        <w:tc>
          <w:tcPr>
            <w:tcW w:type="dxa" w:w="6183"/>
          </w:tcPr>
          <w:p>
            <w:r/>
            <w:r>
              <w:rPr>
                <w:rFonts w:ascii="Calibri" w:hAnsi="Calibri"/>
                <w:b w:val="0"/>
                <w:sz w:val="19"/>
              </w:rPr>
              <w:t>Diseño editorial y composición</w:t>
            </w:r>
          </w:p>
        </w:tc>
        <w:tc>
          <w:tcPr>
            <w:tcW w:type="dxa" w:w="3789"/>
          </w:tcPr>
          <w:p>
            <w:r/>
            <w:r>
              <w:rPr>
                <w:rFonts w:ascii="Calibri" w:hAnsi="Calibri"/>
                <w:b w:val="0"/>
                <w:sz w:val="19"/>
              </w:rPr>
              <w:t>Medio</w:t>
            </w:r>
          </w:p>
        </w:tc>
      </w:tr>
      <w:tr>
        <w:tc>
          <w:tcPr>
            <w:tcW w:type="dxa" w:w="6183"/>
          </w:tcPr>
          <w:p>
            <w:r/>
            <w:r>
              <w:rPr>
                <w:rFonts w:ascii="Calibri" w:hAnsi="Calibri"/>
                <w:b w:val="0"/>
                <w:sz w:val="19"/>
              </w:rPr>
              <w:t>Diseño enfocado en conversión (UX/UI básico)</w:t>
            </w:r>
          </w:p>
        </w:tc>
        <w:tc>
          <w:tcPr>
            <w:tcW w:type="dxa" w:w="3789"/>
          </w:tcPr>
          <w:p>
            <w:r/>
            <w:r>
              <w:rPr>
                <w:rFonts w:ascii="Calibri" w:hAnsi="Calibri"/>
                <w:b w:val="0"/>
                <w:sz w:val="19"/>
              </w:rPr>
              <w:t>Medio</w:t>
            </w:r>
          </w:p>
        </w:tc>
      </w:tr>
    </w:tbl>
    <w:p>
      <w:pPr>
        <w:keepNext/>
        <w:spacing w:before="280" w:after="80"/>
        <w:pBdr>
          <w:bottom w:val="single" w:sz="8" w:color="F0E528"/>
        </w:pBdr>
      </w:pPr>
      <w:r>
        <w:rPr>
          <w:rFonts w:ascii="Georgia" w:hAnsi="Georgia"/>
          <w:b/>
          <w:color w:val="0056B4"/>
          <w:sz w:val="26"/>
        </w:rPr>
        <w:t>5. Requisitos del puesto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792"/>
            <w:shd w:val="clear" w:fill="0056B4"/>
          </w:tcPr>
          <w:p>
            <w:pPr>
              <w:jc w:val="center"/>
            </w:pPr>
            <w:r/>
            <w:r>
              <w:rPr>
                <w:rFonts w:ascii="Calibri" w:hAnsi="Calibri"/>
                <w:b/>
                <w:color w:val="FFFFFF"/>
                <w:sz w:val="17"/>
              </w:rPr>
              <w:t>Requisito</w:t>
            </w:r>
          </w:p>
        </w:tc>
        <w:tc>
          <w:tcPr>
            <w:tcW w:type="dxa" w:w="7180"/>
            <w:shd w:val="clear" w:fill="0056B4"/>
          </w:tcPr>
          <w:p>
            <w:pPr>
              <w:jc w:val="center"/>
            </w:pPr>
            <w:r/>
            <w:r>
              <w:rPr>
                <w:rFonts w:ascii="Calibri" w:hAnsi="Calibri"/>
                <w:b/>
                <w:color w:val="FFFFFF"/>
                <w:sz w:val="17"/>
              </w:rPr>
              <w:t>Detalle</w:t>
            </w:r>
          </w:p>
        </w:tc>
      </w:tr>
      <w:tr>
        <w:tc>
          <w:tcPr>
            <w:tcW w:type="dxa" w:w="2792"/>
          </w:tcPr>
          <w:p>
            <w:r/>
            <w:r>
              <w:rPr>
                <w:rFonts w:ascii="Calibri" w:hAnsi="Calibri"/>
                <w:b w:val="0"/>
                <w:sz w:val="19"/>
              </w:rPr>
              <w:t>Escolaridad</w:t>
            </w:r>
          </w:p>
        </w:tc>
        <w:tc>
          <w:tcPr>
            <w:tcW w:type="dxa" w:w="7180"/>
          </w:tcPr>
          <w:p>
            <w:r/>
            <w:r>
              <w:rPr>
                <w:rFonts w:ascii="Calibri" w:hAnsi="Calibri"/>
                <w:b w:val="0"/>
                <w:sz w:val="19"/>
              </w:rPr>
              <w:t>[por validar con la Dirección]. El perfil original no especifica la formación requerida.</w:t>
            </w:r>
          </w:p>
        </w:tc>
      </w:tr>
      <w:tr>
        <w:tc>
          <w:tcPr>
            <w:tcW w:type="dxa" w:w="2792"/>
          </w:tcPr>
          <w:p>
            <w:r/>
            <w:r>
              <w:rPr>
                <w:rFonts w:ascii="Calibri" w:hAnsi="Calibri"/>
                <w:b w:val="0"/>
                <w:sz w:val="19"/>
              </w:rPr>
              <w:t>Experiencia</w:t>
            </w:r>
          </w:p>
        </w:tc>
        <w:tc>
          <w:tcPr>
            <w:tcW w:type="dxa" w:w="7180"/>
          </w:tcPr>
          <w:p>
            <w:r/>
            <w:r>
              <w:rPr>
                <w:rFonts w:ascii="Calibri" w:hAnsi="Calibri"/>
                <w:b w:val="0"/>
                <w:sz w:val="19"/>
              </w:rPr>
              <w:t>[por validar con la Dirección]. El perfil original no especifica los años ni el tipo de experiencia.</w:t>
            </w:r>
          </w:p>
        </w:tc>
      </w:tr>
      <w:tr>
        <w:tc>
          <w:tcPr>
            <w:tcW w:type="dxa" w:w="2792"/>
          </w:tcPr>
          <w:p>
            <w:r/>
            <w:r>
              <w:rPr>
                <w:rFonts w:ascii="Calibri" w:hAnsi="Calibri"/>
                <w:b w:val="0"/>
                <w:sz w:val="19"/>
              </w:rPr>
              <w:t>Certificaciones</w:t>
            </w:r>
          </w:p>
        </w:tc>
        <w:tc>
          <w:tcPr>
            <w:tcW w:type="dxa" w:w="7180"/>
          </w:tcPr>
          <w:p>
            <w:r/>
            <w:r>
              <w:rPr>
                <w:rFonts w:ascii="Calibri" w:hAnsi="Calibri"/>
                <w:b w:val="0"/>
                <w:sz w:val="19"/>
              </w:rPr>
              <w:t>No especificadas en el perfil original. La operación de drones para cobertura aérea puede requerir el registro del piloto y de la aeronave ante la autoridad aeronáutica; confirmar con la Dirección. [por validar]</w:t>
            </w:r>
          </w:p>
        </w:tc>
      </w:tr>
      <w:tr>
        <w:tc>
          <w:tcPr>
            <w:tcW w:type="dxa" w:w="2792"/>
          </w:tcPr>
          <w:p>
            <w:r/>
            <w:r>
              <w:rPr>
                <w:rFonts w:ascii="Calibri" w:hAnsi="Calibri"/>
                <w:b w:val="0"/>
                <w:sz w:val="19"/>
              </w:rPr>
              <w:t>Modalidad</w:t>
            </w:r>
          </w:p>
        </w:tc>
        <w:tc>
          <w:tcPr>
            <w:tcW w:type="dxa" w:w="7180"/>
          </w:tcPr>
          <w:p>
            <w:r/>
            <w:r>
              <w:rPr>
                <w:rFonts w:ascii="Calibri" w:hAnsi="Calibri"/>
                <w:b w:val="0"/>
                <w:sz w:val="19"/>
              </w:rPr>
              <w:t>Presencial en la matriz de SolarPro Chihuahua, con desplazamiento a obra en Chihuahua y plazas aledañas para la cobertura en sitio.</w:t>
            </w:r>
          </w:p>
        </w:tc>
      </w:tr>
      <w:tr>
        <w:tc>
          <w:tcPr>
            <w:tcW w:type="dxa" w:w="2792"/>
          </w:tcPr>
          <w:p>
            <w:r/>
            <w:r>
              <w:rPr>
                <w:rFonts w:ascii="Calibri" w:hAnsi="Calibri"/>
                <w:b w:val="0"/>
                <w:sz w:val="19"/>
              </w:rPr>
              <w:t>Herramientas clave</w:t>
            </w:r>
          </w:p>
        </w:tc>
        <w:tc>
          <w:tcPr>
            <w:tcW w:type="dxa" w:w="7180"/>
          </w:tcPr>
          <w:p>
            <w:r/>
            <w:r>
              <w:rPr>
                <w:rFonts w:ascii="Calibri" w:hAnsi="Calibri"/>
                <w:b w:val="0"/>
                <w:sz w:val="19"/>
              </w:rPr>
              <w:t>Suite Adobe (Premiere, After Effects, Illustrator y Photoshop), equipo fotográfico y de video, drone y repositorio digital de activos (DAM).</w:t>
            </w:r>
          </w:p>
        </w:tc>
      </w:tr>
      <w:tr>
        <w:tc>
          <w:tcPr>
            <w:tcW w:type="dxa" w:w="2792"/>
          </w:tcPr>
          <w:p>
            <w:r/>
            <w:r>
              <w:rPr>
                <w:rFonts w:ascii="Calibri" w:hAnsi="Calibri"/>
                <w:b w:val="0"/>
                <w:sz w:val="19"/>
              </w:rPr>
              <w:t>Seguridad en obra</w:t>
            </w:r>
          </w:p>
        </w:tc>
        <w:tc>
          <w:tcPr>
            <w:tcW w:type="dxa" w:w="7180"/>
          </w:tcPr>
          <w:p>
            <w:r/>
            <w:r>
              <w:rPr>
                <w:rFonts w:ascii="Calibri" w:hAnsi="Calibri"/>
                <w:b w:val="0"/>
                <w:sz w:val="19"/>
              </w:rPr>
              <w:t>Uso del equipo de protección personal durante la cobertura en instalaciones. La exposición a trabajos en altura requiere la inducción de seguridad aplicable. [por validar]</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El perfil original del área de Mercadotecnia no incluye formación, experiencia ni certificaciones específicas. Estos requisitos se definen y se validan con la Dirección antes de aprobar el documento.</w:t>
            </w:r>
          </w:p>
        </w:tc>
      </w:tr>
    </w:tbl>
    <w:p>
      <w:pPr>
        <w:spacing w:after="40"/>
      </w:pPr>
    </w:p>
    <w:p>
      <w:pPr>
        <w:keepNext/>
        <w:spacing w:before="280" w:after="80"/>
        <w:pBdr>
          <w:bottom w:val="single" w:sz="8" w:color="F0E528"/>
        </w:pBdr>
      </w:pPr>
      <w:r>
        <w:rPr>
          <w:rFonts w:ascii="Georgia" w:hAnsi="Georgia"/>
          <w:b/>
          <w:color w:val="0056B4"/>
          <w:sz w:val="26"/>
        </w:rPr>
        <w:t>6. Indicadores del puesto (KPIs)</w:t>
      </w:r>
    </w:p>
    <w:p>
      <w:pPr>
        <w:spacing w:after="120"/>
      </w:pPr>
      <w:r>
        <w:rPr>
          <w:rFonts w:ascii="Calibri" w:hAnsi="Calibri"/>
          <w:color w:val="1C242E"/>
          <w:sz w:val="21"/>
        </w:rPr>
        <w:t>Indicadores con los que se mide el desempeño del puesto, alineados con las áreas de efectividad. Las metas sin dato de referencia se confirman con la Dirección en la primera revisión del perfil.</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3390"/>
            <w:shd w:val="clear" w:fill="0056B4"/>
          </w:tcPr>
          <w:p>
            <w:pPr>
              <w:jc w:val="center"/>
            </w:pPr>
            <w:r/>
            <w:r>
              <w:rPr>
                <w:rFonts w:ascii="Calibri" w:hAnsi="Calibri"/>
                <w:b/>
                <w:color w:val="FFFFFF"/>
                <w:sz w:val="17"/>
              </w:rPr>
              <w:t>Indicador</w:t>
            </w:r>
          </w:p>
        </w:tc>
        <w:tc>
          <w:tcPr>
            <w:tcW w:type="dxa" w:w="2593"/>
            <w:shd w:val="clear" w:fill="0056B4"/>
          </w:tcPr>
          <w:p>
            <w:pPr>
              <w:jc w:val="center"/>
            </w:pPr>
            <w:r/>
            <w:r>
              <w:rPr>
                <w:rFonts w:ascii="Calibri" w:hAnsi="Calibri"/>
                <w:b/>
                <w:color w:val="FFFFFF"/>
                <w:sz w:val="17"/>
              </w:rPr>
              <w:t>Meta</w:t>
            </w:r>
          </w:p>
        </w:tc>
        <w:tc>
          <w:tcPr>
            <w:tcW w:type="dxa" w:w="1496"/>
            <w:shd w:val="clear" w:fill="0056B4"/>
          </w:tcPr>
          <w:p>
            <w:pPr>
              <w:jc w:val="center"/>
            </w:pPr>
            <w:r/>
            <w:r>
              <w:rPr>
                <w:rFonts w:ascii="Calibri" w:hAnsi="Calibri"/>
                <w:b/>
                <w:color w:val="FFFFFF"/>
                <w:sz w:val="17"/>
              </w:rPr>
              <w:t>Frecuencia</w:t>
            </w:r>
          </w:p>
        </w:tc>
        <w:tc>
          <w:tcPr>
            <w:tcW w:type="dxa" w:w="2493"/>
            <w:shd w:val="clear" w:fill="0056B4"/>
          </w:tcPr>
          <w:p>
            <w:pPr>
              <w:jc w:val="center"/>
            </w:pPr>
            <w:r/>
            <w:r>
              <w:rPr>
                <w:rFonts w:ascii="Calibri" w:hAnsi="Calibri"/>
                <w:b/>
                <w:color w:val="FFFFFF"/>
                <w:sz w:val="17"/>
              </w:rPr>
              <w:t>Fuente</w:t>
            </w:r>
          </w:p>
        </w:tc>
      </w:tr>
      <w:tr>
        <w:tc>
          <w:tcPr>
            <w:tcW w:type="dxa" w:w="3390"/>
          </w:tcPr>
          <w:p>
            <w:r/>
            <w:r>
              <w:rPr>
                <w:rFonts w:ascii="Calibri" w:hAnsi="Calibri"/>
                <w:b w:val="0"/>
                <w:sz w:val="19"/>
              </w:rPr>
              <w:t>Cumplimiento del plan de producción de video</w:t>
            </w:r>
          </w:p>
        </w:tc>
        <w:tc>
          <w:tcPr>
            <w:tcW w:type="dxa" w:w="2593"/>
          </w:tcPr>
          <w:p>
            <w:r/>
            <w:r>
              <w:rPr>
                <w:rFonts w:ascii="Calibri" w:hAnsi="Calibri"/>
                <w:b w:val="0"/>
                <w:sz w:val="19"/>
              </w:rPr>
              <w:t>[por definir con la Dirección]</w:t>
            </w:r>
          </w:p>
        </w:tc>
        <w:tc>
          <w:tcPr>
            <w:tcW w:type="dxa" w:w="1496"/>
          </w:tcPr>
          <w:p>
            <w:r/>
            <w:r>
              <w:rPr>
                <w:rFonts w:ascii="Calibri" w:hAnsi="Calibri"/>
                <w:b w:val="0"/>
                <w:sz w:val="19"/>
              </w:rPr>
              <w:t>Mensual</w:t>
            </w:r>
          </w:p>
        </w:tc>
        <w:tc>
          <w:tcPr>
            <w:tcW w:type="dxa" w:w="2493"/>
          </w:tcPr>
          <w:p>
            <w:r/>
            <w:r>
              <w:rPr>
                <w:rFonts w:ascii="Calibri" w:hAnsi="Calibri"/>
                <w:b w:val="0"/>
                <w:sz w:val="19"/>
              </w:rPr>
              <w:t>Plan de contenidos</w:t>
            </w:r>
          </w:p>
        </w:tc>
      </w:tr>
      <w:tr>
        <w:tc>
          <w:tcPr>
            <w:tcW w:type="dxa" w:w="3390"/>
          </w:tcPr>
          <w:p>
            <w:r/>
            <w:r>
              <w:rPr>
                <w:rFonts w:ascii="Calibri" w:hAnsi="Calibri"/>
                <w:b w:val="0"/>
                <w:sz w:val="19"/>
              </w:rPr>
              <w:t>CTR de los anuncios diseñados</w:t>
            </w:r>
          </w:p>
        </w:tc>
        <w:tc>
          <w:tcPr>
            <w:tcW w:type="dxa" w:w="2593"/>
          </w:tcPr>
          <w:p>
            <w:r/>
            <w:r>
              <w:rPr>
                <w:rFonts w:ascii="Calibri" w:hAnsi="Calibri"/>
                <w:b w:val="0"/>
                <w:sz w:val="19"/>
              </w:rPr>
              <w:t>[por definir con la Dirección]</w:t>
            </w:r>
          </w:p>
        </w:tc>
        <w:tc>
          <w:tcPr>
            <w:tcW w:type="dxa" w:w="1496"/>
          </w:tcPr>
          <w:p>
            <w:r/>
            <w:r>
              <w:rPr>
                <w:rFonts w:ascii="Calibri" w:hAnsi="Calibri"/>
                <w:b w:val="0"/>
                <w:sz w:val="19"/>
              </w:rPr>
              <w:t>Por campaña</w:t>
            </w:r>
          </w:p>
        </w:tc>
        <w:tc>
          <w:tcPr>
            <w:tcW w:type="dxa" w:w="2493"/>
          </w:tcPr>
          <w:p>
            <w:r/>
            <w:r>
              <w:rPr>
                <w:rFonts w:ascii="Calibri" w:hAnsi="Calibri"/>
                <w:b w:val="0"/>
                <w:sz w:val="19"/>
              </w:rPr>
              <w:t>Plataformas de pauta (Meta y Google Ads)</w:t>
            </w:r>
          </w:p>
        </w:tc>
      </w:tr>
      <w:tr>
        <w:tc>
          <w:tcPr>
            <w:tcW w:type="dxa" w:w="3390"/>
          </w:tcPr>
          <w:p>
            <w:r/>
            <w:r>
              <w:rPr>
                <w:rFonts w:ascii="Calibri" w:hAnsi="Calibri"/>
                <w:b w:val="0"/>
                <w:sz w:val="19"/>
              </w:rPr>
              <w:t>Frecuencia de levantamiento de imagen en proyectos</w:t>
            </w:r>
          </w:p>
        </w:tc>
        <w:tc>
          <w:tcPr>
            <w:tcW w:type="dxa" w:w="2593"/>
          </w:tcPr>
          <w:p>
            <w:r/>
            <w:r>
              <w:rPr>
                <w:rFonts w:ascii="Calibri" w:hAnsi="Calibri"/>
                <w:b w:val="0"/>
                <w:sz w:val="19"/>
              </w:rPr>
              <w:t>[por definir con la Dirección]</w:t>
            </w:r>
          </w:p>
        </w:tc>
        <w:tc>
          <w:tcPr>
            <w:tcW w:type="dxa" w:w="1496"/>
          </w:tcPr>
          <w:p>
            <w:r/>
            <w:r>
              <w:rPr>
                <w:rFonts w:ascii="Calibri" w:hAnsi="Calibri"/>
                <w:b w:val="0"/>
                <w:sz w:val="19"/>
              </w:rPr>
              <w:t>Mensual</w:t>
            </w:r>
          </w:p>
        </w:tc>
        <w:tc>
          <w:tcPr>
            <w:tcW w:type="dxa" w:w="2493"/>
          </w:tcPr>
          <w:p>
            <w:r/>
            <w:r>
              <w:rPr>
                <w:rFonts w:ascii="Calibri" w:hAnsi="Calibri"/>
                <w:b w:val="0"/>
                <w:sz w:val="19"/>
              </w:rPr>
              <w:t>Banco de fotos y clips (DAM)</w:t>
            </w:r>
          </w:p>
        </w:tc>
      </w:tr>
      <w:tr>
        <w:tc>
          <w:tcPr>
            <w:tcW w:type="dxa" w:w="3390"/>
          </w:tcPr>
          <w:p>
            <w:r/>
            <w:r>
              <w:rPr>
                <w:rFonts w:ascii="Calibri" w:hAnsi="Calibri"/>
                <w:b w:val="0"/>
                <w:sz w:val="19"/>
              </w:rPr>
              <w:t>Cumplimiento del manual de marca</w:t>
            </w:r>
          </w:p>
        </w:tc>
        <w:tc>
          <w:tcPr>
            <w:tcW w:type="dxa" w:w="2593"/>
          </w:tcPr>
          <w:p>
            <w:r/>
            <w:r>
              <w:rPr>
                <w:rFonts w:ascii="Calibri" w:hAnsi="Calibri"/>
                <w:b w:val="0"/>
                <w:sz w:val="19"/>
              </w:rPr>
              <w:t>100% de piezas conformes</w:t>
            </w:r>
          </w:p>
        </w:tc>
        <w:tc>
          <w:tcPr>
            <w:tcW w:type="dxa" w:w="1496"/>
          </w:tcPr>
          <w:p>
            <w:r/>
            <w:r>
              <w:rPr>
                <w:rFonts w:ascii="Calibri" w:hAnsi="Calibri"/>
                <w:b w:val="0"/>
                <w:sz w:val="19"/>
              </w:rPr>
              <w:t>Por pieza</w:t>
            </w:r>
          </w:p>
        </w:tc>
        <w:tc>
          <w:tcPr>
            <w:tcW w:type="dxa" w:w="2493"/>
          </w:tcPr>
          <w:p>
            <w:r/>
            <w:r>
              <w:rPr>
                <w:rFonts w:ascii="Calibri" w:hAnsi="Calibri"/>
                <w:b w:val="0"/>
                <w:sz w:val="19"/>
              </w:rPr>
              <w:t>Guía de estilo y lista de verificación de marca</w:t>
            </w:r>
          </w:p>
        </w:tc>
      </w:tr>
      <w:tr>
        <w:tc>
          <w:tcPr>
            <w:tcW w:type="dxa" w:w="3390"/>
          </w:tcPr>
          <w:p>
            <w:r/>
            <w:r>
              <w:rPr>
                <w:rFonts w:ascii="Calibri" w:hAnsi="Calibri"/>
                <w:b w:val="0"/>
                <w:sz w:val="19"/>
              </w:rPr>
              <w:t>Entrega a tiempo de piezas de campaña</w:t>
            </w:r>
          </w:p>
        </w:tc>
        <w:tc>
          <w:tcPr>
            <w:tcW w:type="dxa" w:w="2593"/>
          </w:tcPr>
          <w:p>
            <w:r/>
            <w:r>
              <w:rPr>
                <w:rFonts w:ascii="Calibri" w:hAnsi="Calibri"/>
                <w:b w:val="0"/>
                <w:sz w:val="19"/>
              </w:rPr>
              <w:t>[por definir con la Dirección]</w:t>
            </w:r>
          </w:p>
        </w:tc>
        <w:tc>
          <w:tcPr>
            <w:tcW w:type="dxa" w:w="1496"/>
          </w:tcPr>
          <w:p>
            <w:r/>
            <w:r>
              <w:rPr>
                <w:rFonts w:ascii="Calibri" w:hAnsi="Calibri"/>
                <w:b w:val="0"/>
                <w:sz w:val="19"/>
              </w:rPr>
              <w:t>Por campaña</w:t>
            </w:r>
          </w:p>
        </w:tc>
        <w:tc>
          <w:tcPr>
            <w:tcW w:type="dxa" w:w="2493"/>
          </w:tcPr>
          <w:p>
            <w:r/>
            <w:r>
              <w:rPr>
                <w:rFonts w:ascii="Calibri" w:hAnsi="Calibri"/>
                <w:b w:val="0"/>
                <w:sz w:val="19"/>
              </w:rPr>
              <w:t>Calendario de campañas</w:t>
            </w:r>
          </w:p>
        </w:tc>
      </w:tr>
    </w:tbl>
    <w:p>
      <w:pPr>
        <w:keepNext/>
        <w:spacing w:before="280" w:after="80"/>
        <w:pBdr>
          <w:bottom w:val="single" w:sz="8" w:color="F0E528"/>
        </w:pBdr>
      </w:pPr>
      <w:r>
        <w:rPr>
          <w:rFonts w:ascii="Georgia" w:hAnsi="Georgia"/>
          <w:b/>
          <w:color w:val="0056B4"/>
          <w:sz w:val="26"/>
        </w:rPr>
        <w:t>7. Relaciones y línea de reporte</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992"/>
            <w:shd w:val="clear" w:fill="0056B4"/>
          </w:tcPr>
          <w:p>
            <w:pPr>
              <w:jc w:val="center"/>
            </w:pPr>
            <w:r/>
            <w:r>
              <w:rPr>
                <w:rFonts w:ascii="Calibri" w:hAnsi="Calibri"/>
                <w:b/>
                <w:color w:val="FFFFFF"/>
                <w:sz w:val="17"/>
              </w:rPr>
              <w:t>Relación</w:t>
            </w:r>
          </w:p>
        </w:tc>
        <w:tc>
          <w:tcPr>
            <w:tcW w:type="dxa" w:w="6980"/>
            <w:shd w:val="clear" w:fill="0056B4"/>
          </w:tcPr>
          <w:p>
            <w:pPr>
              <w:jc w:val="center"/>
            </w:pPr>
            <w:r/>
            <w:r>
              <w:rPr>
                <w:rFonts w:ascii="Calibri" w:hAnsi="Calibri"/>
                <w:b/>
                <w:color w:val="FFFFFF"/>
                <w:sz w:val="17"/>
              </w:rPr>
              <w:t>Rol</w:t>
            </w:r>
          </w:p>
        </w:tc>
      </w:tr>
      <w:tr>
        <w:tc>
          <w:tcPr>
            <w:tcW w:type="dxa" w:w="2992"/>
          </w:tcPr>
          <w:p>
            <w:r/>
            <w:r>
              <w:rPr>
                <w:rFonts w:ascii="Calibri" w:hAnsi="Calibri"/>
                <w:b w:val="0"/>
                <w:sz w:val="19"/>
              </w:rPr>
              <w:t>Recibe mando de</w:t>
            </w:r>
          </w:p>
        </w:tc>
        <w:tc>
          <w:tcPr>
            <w:tcW w:type="dxa" w:w="6980"/>
          </w:tcPr>
          <w:p>
            <w:r/>
            <w:r>
              <w:rPr>
                <w:rFonts w:ascii="Calibri" w:hAnsi="Calibri"/>
                <w:b w:val="0"/>
                <w:sz w:val="19"/>
              </w:rPr>
              <w:t>Dirección y el área de Marketing (Mercadotecnia). El puesto recibe mando de ambos, conforme al perfil vigente.</w:t>
            </w:r>
          </w:p>
        </w:tc>
      </w:tr>
      <w:tr>
        <w:tc>
          <w:tcPr>
            <w:tcW w:type="dxa" w:w="2992"/>
          </w:tcPr>
          <w:p>
            <w:r/>
            <w:r>
              <w:rPr>
                <w:rFonts w:ascii="Calibri" w:hAnsi="Calibri"/>
                <w:b w:val="0"/>
                <w:sz w:val="19"/>
              </w:rPr>
              <w:t>Supervisa a</w:t>
            </w:r>
          </w:p>
        </w:tc>
        <w:tc>
          <w:tcPr>
            <w:tcW w:type="dxa" w:w="6980"/>
          </w:tcPr>
          <w:p>
            <w:r/>
            <w:r>
              <w:rPr>
                <w:rFonts w:ascii="Calibri" w:hAnsi="Calibri"/>
                <w:b w:val="0"/>
                <w:sz w:val="19"/>
              </w:rPr>
              <w:t>Ninguno (posición individual)</w:t>
            </w:r>
          </w:p>
        </w:tc>
      </w:tr>
      <w:tr>
        <w:tc>
          <w:tcPr>
            <w:tcW w:type="dxa" w:w="2992"/>
          </w:tcPr>
          <w:p>
            <w:r/>
            <w:r>
              <w:rPr>
                <w:rFonts w:ascii="Calibri" w:hAnsi="Calibri"/>
                <w:b w:val="0"/>
                <w:sz w:val="19"/>
              </w:rPr>
              <w:t>Coordina con</w:t>
            </w:r>
          </w:p>
        </w:tc>
        <w:tc>
          <w:tcPr>
            <w:tcW w:type="dxa" w:w="6980"/>
          </w:tcPr>
          <w:p>
            <w:r/>
            <w:r>
              <w:rPr>
                <w:rFonts w:ascii="Calibri" w:hAnsi="Calibri"/>
                <w:b w:val="0"/>
                <w:sz w:val="19"/>
              </w:rPr>
              <w:t>Ingeniería, para validar los datos técnicos de los sistemas fotovoltaicos en el contenido; y con Operaciones, para la cobertura en obra.</w:t>
            </w:r>
          </w:p>
        </w:tc>
      </w:tr>
      <w:tr>
        <w:tc>
          <w:tcPr>
            <w:tcW w:type="dxa" w:w="2992"/>
          </w:tcPr>
          <w:p>
            <w:r/>
            <w:r>
              <w:rPr>
                <w:rFonts w:ascii="Calibri" w:hAnsi="Calibri"/>
                <w:b w:val="0"/>
                <w:sz w:val="19"/>
              </w:rPr>
              <w:t>Escala a</w:t>
            </w:r>
          </w:p>
        </w:tc>
        <w:tc>
          <w:tcPr>
            <w:tcW w:type="dxa" w:w="6980"/>
          </w:tcPr>
          <w:p>
            <w:r/>
            <w:r>
              <w:rPr>
                <w:rFonts w:ascii="Calibri" w:hAnsi="Calibri"/>
                <w:b w:val="0"/>
                <w:sz w:val="19"/>
              </w:rPr>
              <w:t>Dirección o Gerencia Comercial, las piezas o campañas que requieran aprobación fuera de su alcance.</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Este perfil describe roles, no personas. Cualquier cambio de estructura se refleja en una nueva versión controlada del documento.</w:t>
            </w:r>
          </w:p>
        </w:tc>
      </w:tr>
    </w:tbl>
    <w:p>
      <w:pPr>
        <w:spacing w:after="40"/>
      </w:pPr>
    </w:p>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 Comercial</w:t>
            </w:r>
          </w:p>
        </w:tc>
        <w:tc>
          <w:tcPr>
            <w:tcW w:type="dxa" w:w="3324"/>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Diseño y Comunicación Audiovisual · PER-DCA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