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2550"/>
        <w:gridCol w:w="2550"/>
        <w:gridCol w:w="2550"/>
        <w:gridCol w:w="2550"/>
      </w:tblGrid>
      <w:tr>
        <w:tc>
          <w:tcPr>
            <w:tcW w:type="dxa" w:w="2448"/>
            <w:vMerge w:val="restart"/>
          </w:tcPr>
          <w:p>
            <w:pPr>
              <w:jc w:val="center"/>
            </w:pPr>
            <w:r/>
            <w:r>
              <w:drawing>
                <wp:inline xmlns:a="http://schemas.openxmlformats.org/drawingml/2006/main" xmlns:pic="http://schemas.openxmlformats.org/drawingml/2006/picture">
                  <wp:extent cx="1224000" cy="402171"/>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1224000" cy="402171"/>
                          </a:xfrm>
                          <a:prstGeom prst="rect"/>
                        </pic:spPr>
                      </pic:pic>
                    </a:graphicData>
                  </a:graphic>
                </wp:inline>
              </w:drawing>
            </w:r>
          </w:p>
        </w:tc>
        <w:tc>
          <w:tcPr>
            <w:tcW w:type="dxa" w:w="4080"/>
            <w:vMerge w:val="restart"/>
            <w:shd w:val="clear" w:fill="F2F2F2"/>
          </w:tcPr>
          <w:p>
            <w:pPr>
              <w:jc w:val="center"/>
            </w:pPr>
            <w:r/>
            <w:r>
              <w:rPr>
                <w:rFonts w:ascii="Georgia" w:hAnsi="Georgia"/>
                <w:b/>
                <w:sz w:val="26"/>
              </w:rPr>
              <w:t>Ejecución de Instalación, Seguridad y Calidad en Sitio</w:t>
            </w:r>
          </w:p>
        </w:tc>
        <w:tc>
          <w:tcPr>
            <w:tcW w:type="dxa" w:w="1836"/>
          </w:tcPr>
          <w:p>
            <w:r/>
            <w:r>
              <w:rPr>
                <w:rFonts w:ascii="Calibri" w:hAnsi="Calibri"/>
                <w:b/>
                <w:sz w:val="15"/>
              </w:rPr>
              <w:t xml:space="preserve">Código: </w:t>
            </w:r>
            <w:r>
              <w:rPr>
                <w:rFonts w:ascii="Calibri" w:hAnsi="Calibri"/>
                <w:sz w:val="15"/>
              </w:rPr>
              <w:t>PRO-OPE-03</w:t>
            </w:r>
          </w:p>
        </w:tc>
        <w:tc>
          <w:tcPr>
            <w:tcW w:type="dxa" w:w="1836"/>
          </w:tcPr>
          <w:p>
            <w:r/>
            <w:r>
              <w:rPr>
                <w:rFonts w:ascii="Calibri" w:hAnsi="Calibri"/>
                <w:b/>
                <w:sz w:val="15"/>
              </w:rPr>
              <w:t xml:space="preserve">Versión: </w:t>
            </w:r>
            <w:r>
              <w:rPr>
                <w:rFonts w:ascii="Calibri" w:hAnsi="Calibri"/>
                <w:sz w:val="15"/>
              </w:rPr>
              <w:t>1.0</w:t>
            </w:r>
          </w:p>
        </w:tc>
      </w:tr>
      <w:tr>
        <w:tc>
          <w:tcPr>
            <w:tcW w:type="dxa" w:w="2448"/>
            <w:vMerge/>
          </w:tcPr>
          <w:p/>
        </w:tc>
        <w:tc>
          <w:tcPr>
            <w:tcW w:type="dxa" w:w="4080"/>
            <w:vMerge/>
          </w:tcPr>
          <w:p/>
        </w:tc>
        <w:tc>
          <w:tcPr>
            <w:tcW w:type="dxa" w:w="1836"/>
          </w:tcPr>
          <w:p>
            <w:r/>
            <w:r>
              <w:rPr>
                <w:rFonts w:ascii="Calibri" w:hAnsi="Calibri"/>
                <w:b/>
                <w:sz w:val="15"/>
              </w:rPr>
              <w:t xml:space="preserve">Emisión: </w:t>
            </w:r>
            <w:r>
              <w:rPr>
                <w:rFonts w:ascii="Calibri" w:hAnsi="Calibri"/>
                <w:sz w:val="15"/>
              </w:rPr>
              <w:t>Septiembre 2026</w:t>
            </w:r>
          </w:p>
        </w:tc>
        <w:tc>
          <w:tcPr>
            <w:tcW w:type="dxa" w:w="1836"/>
          </w:tcPr>
          <w:p>
            <w:r/>
            <w:r>
              <w:rPr>
                <w:rFonts w:ascii="Calibri" w:hAnsi="Calibri"/>
                <w:b/>
                <w:sz w:val="15"/>
              </w:rPr>
              <w:t xml:space="preserve">Revisión: </w:t>
            </w:r>
            <w:r>
              <w:rPr>
                <w:rFonts w:ascii="Calibri" w:hAnsi="Calibri"/>
                <w:sz w:val="15"/>
              </w:rPr>
              <w:t>Diciembre 2026</w:t>
            </w:r>
          </w:p>
        </w:tc>
      </w:tr>
      <w:tr>
        <w:tc>
          <w:tcPr>
            <w:tcW w:type="dxa" w:w="2448"/>
            <w:vMerge/>
          </w:tcPr>
          <w:p/>
        </w:tc>
        <w:tc>
          <w:tcPr>
            <w:tcW w:type="dxa" w:w="4080"/>
          </w:tcPr>
          <w:p>
            <w:pPr>
              <w:jc w:val="center"/>
            </w:pPr>
            <w:r/>
            <w:r>
              <w:rPr>
                <w:rFonts w:ascii="Calibri" w:hAnsi="Calibri"/>
                <w:b w:val="0"/>
                <w:color w:val="595959"/>
                <w:sz w:val="16"/>
              </w:rPr>
              <w:t>Procedimiento</w:t>
            </w:r>
          </w:p>
        </w:tc>
        <w:tc>
          <w:tcPr>
            <w:tcW w:type="dxa" w:w="1836"/>
          </w:tcPr>
          <w:p>
            <w:r/>
            <w:r>
              <w:rPr>
                <w:rFonts w:ascii="Calibri" w:hAnsi="Calibri"/>
                <w:b/>
                <w:sz w:val="15"/>
              </w:rPr>
              <w:t xml:space="preserve">Estado: </w:t>
            </w:r>
            <w:r>
              <w:rPr>
                <w:rFonts w:ascii="Calibri" w:hAnsi="Calibri"/>
                <w:sz w:val="15"/>
              </w:rPr>
              <w:t>Borrador para validación</w:t>
            </w:r>
          </w:p>
        </w:tc>
        <w:tc>
          <w:tcPr>
            <w:tcW w:type="dxa" w:w="1836"/>
          </w:tcPr>
          <w:p>
            <w:r/>
            <w:r>
              <w:rPr>
                <w:rFonts w:ascii="Calibri" w:hAnsi="Calibri"/>
                <w:b/>
                <w:sz w:val="15"/>
              </w:rPr>
              <w:t xml:space="preserve">Página: </w:t>
            </w:r>
            <w:r>
              <w:rPr>
                <w:rFonts w:ascii="Calibri" w:hAnsi="Calibri"/>
                <w:sz w:val="15"/>
              </w:rPr>
              <w:fldChar w:fldCharType="begin"/>
            </w:r>
            <w:r>
              <w:rPr>
                <w:rFonts w:ascii="Calibri" w:hAnsi="Calibri"/>
                <w:sz w:val="15"/>
              </w:rPr>
              <w:instrText xml:space="preserve"> PAGE </w:instrText>
            </w:r>
            <w:r>
              <w:fldChar w:fldCharType="separate"/>
            </w:r>
            <w:r>
              <w:rPr>
                <w:rFonts w:ascii="Calibri" w:hAnsi="Calibri"/>
                <w:sz w:val="15"/>
              </w:rPr>
              <w:t>1</w:t>
            </w:r>
            <w:r>
              <w:fldChar w:fldCharType="end"/>
            </w:r>
            <w:r>
              <w:rPr>
                <w:rFonts w:ascii="Calibri" w:hAnsi="Calibri"/>
                <w:sz w:val="15"/>
              </w:rPr>
              <w:t xml:space="preserve"> de </w:t>
            </w:r>
            <w:r>
              <w:rPr>
                <w:rFonts w:ascii="Calibri" w:hAnsi="Calibri"/>
                <w:sz w:val="15"/>
              </w:rPr>
              <w:fldChar w:fldCharType="begin"/>
            </w:r>
            <w:r>
              <w:rPr>
                <w:rFonts w:ascii="Calibri" w:hAnsi="Calibri"/>
                <w:sz w:val="15"/>
              </w:rPr>
              <w:instrText xml:space="preserve"> NUMPAGES </w:instrText>
            </w:r>
            <w:r>
              <w:fldChar w:fldCharType="separate"/>
            </w:r>
            <w:r>
              <w:rPr>
                <w:rFonts w:ascii="Calibri" w:hAnsi="Calibri"/>
                <w:sz w:val="15"/>
              </w:rPr>
              <w:t>1</w:t>
            </w:r>
            <w:r>
              <w:fldChar w:fldCharType="end"/>
            </w:r>
          </w:p>
        </w:tc>
      </w:tr>
      <w:tr>
        <w:tc>
          <w:tcPr>
            <w:tcW w:type="dxa" w:w="2448"/>
            <w:vMerge/>
          </w:tcPr>
          <w:p/>
        </w:tc>
        <w:tc>
          <w:tcPr>
            <w:tcW w:type="dxa" w:w="4080"/>
          </w:tcPr>
          <w:p>
            <w:pPr>
              <w:jc w:val="center"/>
            </w:pPr>
            <w:r/>
            <w:r>
              <w:rPr>
                <w:rFonts w:ascii="Calibri" w:hAnsi="Calibri"/>
                <w:b w:val="0"/>
                <w:color w:val="595959"/>
                <w:sz w:val="16"/>
              </w:rPr>
              <w:t>Cláusula ISO 9001: 8.5.1, 8.5.4</w:t>
            </w:r>
          </w:p>
        </w:tc>
        <w:tc>
          <w:tcPr>
            <w:tcW w:type="dxa" w:w="1836"/>
          </w:tcPr>
          <w:p>
            <w:r/>
            <w:r>
              <w:rPr>
                <w:rFonts w:ascii="Calibri" w:hAnsi="Calibri"/>
                <w:b/>
                <w:sz w:val="15"/>
              </w:rPr>
              <w:t xml:space="preserve">Propietario: </w:t>
            </w:r>
            <w:r>
              <w:rPr>
                <w:rFonts w:ascii="Calibri" w:hAnsi="Calibri"/>
                <w:sz w:val="15"/>
              </w:rPr>
              <w:t>Operaciones</w:t>
            </w:r>
          </w:p>
        </w:tc>
        <w:tc>
          <w:tcPr>
            <w:tcW w:type="dxa" w:w="1836"/>
          </w:tcPr>
          <w:p>
            <w:r/>
            <w:r>
              <w:rPr>
                <w:rFonts w:ascii="Calibri" w:hAnsi="Calibri"/>
                <w:b/>
                <w:sz w:val="15"/>
              </w:rPr>
              <w:t xml:space="preserve">Elaboró: </w:t>
            </w:r>
            <w:r>
              <w:rPr>
                <w:rFonts w:ascii="Calibri" w:hAnsi="Calibri"/>
                <w:sz w:val="15"/>
              </w:rPr>
              <w:t>DETA Consultores</w:t>
            </w:r>
          </w:p>
        </w:tc>
      </w:tr>
    </w:tbl>
    <w:p>
      <w:pPr>
        <w:spacing w:before="40" w:after="160"/>
        <w:pBdr>
          <w:bottom w:val="single" w:sz="18" w:color="F0E528"/>
        </w:pBdr>
      </w:pP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Importante: Este procedimiento cubre únicamente la ejecución física de la instalación fotovoltaica en el domicilio o predio del cliente, desde el surtido y verificación del material hasta la firma del checklist de calidad y la preservación de la obra. No incluye el encendido del sistema ni la revisión eléctrica de puesta en marcha, que son responsabilidad de Ingeniería (PRO-ING-04). No incluye la corrección de defectos ni los retrabajos posteriores a la entrega, que se canalizan a Postventa (PRO-PVM). No incluye la liberación de cobranza ni el manejo de pagos, que corresponden a Comercial y Administración (PRO-VEN-05). Operaciones entrega evidencia de la instalación terminada, no libera saldos.</w:t>
            </w:r>
          </w:p>
        </w:tc>
      </w:tr>
    </w:tbl>
    <w:p>
      <w:pPr>
        <w:spacing w:after="40"/>
      </w:pPr>
    </w:p>
    <w:p>
      <w:pPr>
        <w:keepNext/>
        <w:spacing w:before="240" w:after="80"/>
        <w:pBdr>
          <w:bottom w:val="single" w:sz="8" w:color="F0E528"/>
        </w:pBdr>
      </w:pPr>
      <w:r>
        <w:rPr>
          <w:rFonts w:ascii="Georgia" w:hAnsi="Georgia"/>
          <w:b/>
          <w:color w:val="0056B4"/>
          <w:sz w:val="22"/>
        </w:rPr>
        <w:t>1. OBJETIVO</w:t>
      </w:r>
    </w:p>
    <w:p>
      <w:pPr>
        <w:spacing w:after="120"/>
      </w:pPr>
      <w:r>
        <w:rPr>
          <w:rFonts w:ascii="Calibri" w:hAnsi="Calibri"/>
          <w:color w:val="1C242E"/>
          <w:sz w:val="21"/>
        </w:rPr>
        <w:t>Asegurar que cada instalación fotovoltaica se ejecute conforme al diseño aprobado, con estructura, paneles, cableado, tierra física e inversor montados según criterio técnico, protegiendo la integridad de la cuadrilla mediante el uso obligatorio de equipo de protección personal y controles de trabajo en altura. El procedimiento garantiza que ninguna instalación se dé por terminada sin un checklist de calidad firmado en sitio y sin la preservación adecuada del material y de la obra, dejando la instalación lista para que Ingeniería ejecute el encendido.</w:t>
      </w:r>
    </w:p>
    <w:p>
      <w:pPr>
        <w:keepNext/>
        <w:spacing w:before="240" w:after="80"/>
        <w:pBdr>
          <w:bottom w:val="single" w:sz="8" w:color="F0E528"/>
        </w:pBdr>
      </w:pPr>
      <w:r>
        <w:rPr>
          <w:rFonts w:ascii="Georgia" w:hAnsi="Georgia"/>
          <w:b/>
          <w:color w:val="0056B4"/>
          <w:sz w:val="22"/>
        </w:rPr>
        <w:t>2. ALCANCE</w:t>
      </w:r>
    </w:p>
    <w:p>
      <w:pPr>
        <w:spacing w:after="120"/>
      </w:pPr>
      <w:r>
        <w:rPr>
          <w:rFonts w:ascii="Calibri" w:hAnsi="Calibri"/>
          <w:color w:val="1C242E"/>
          <w:sz w:val="21"/>
        </w:rPr>
        <w:t>Aplica desde que Operaciones recibe el programa de instalación y coordina el surtido de material con Almacén, pasando por la habilitación de seguridad, el montaje de estructura, paneles, cableado, tierra física e inversor, hasta la firma del checklist de calidad y la entrega de la instalación terminada a Ingeniería para su encendido. Excluye la recepción y entrada de material a Bind, que es de Almacén y Compras; el diseño y el encendido, que son de Ingeniería (PRO-ING-03 y PRO-ING-04); los retrabajos y la atención postventa, que son de Postventa (PRO-PVM); y la liberación de cobranza, que es de Comercial y Administración (PRO-VEN-05).</w:t>
      </w:r>
    </w:p>
    <w:p>
      <w:pPr>
        <w:keepNext/>
        <w:spacing w:before="240" w:after="80"/>
        <w:pBdr>
          <w:bottom w:val="single" w:sz="8" w:color="F0E528"/>
        </w:pBdr>
      </w:pPr>
      <w:r>
        <w:rPr>
          <w:rFonts w:ascii="Georgia" w:hAnsi="Georgia"/>
          <w:b/>
          <w:color w:val="0056B4"/>
          <w:sz w:val="22"/>
        </w:rPr>
        <w:t>3. DEFINICIONES Y ABREVIATURAS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2856"/>
            <w:shd w:val="clear" w:fill="0056B4"/>
          </w:tcPr>
          <w:p>
            <w:pPr>
              <w:jc w:val="center"/>
            </w:pPr>
            <w:r/>
            <w:r>
              <w:rPr>
                <w:rFonts w:ascii="Calibri" w:hAnsi="Calibri"/>
                <w:b/>
                <w:color w:val="FFFFFF"/>
                <w:sz w:val="17"/>
              </w:rPr>
              <w:t>Término</w:t>
            </w:r>
          </w:p>
        </w:tc>
        <w:tc>
          <w:tcPr>
            <w:tcW w:type="dxa" w:w="7344"/>
            <w:shd w:val="clear" w:fill="0056B4"/>
          </w:tcPr>
          <w:p>
            <w:pPr>
              <w:jc w:val="center"/>
            </w:pPr>
            <w:r/>
            <w:r>
              <w:rPr>
                <w:rFonts w:ascii="Calibri" w:hAnsi="Calibri"/>
                <w:b/>
                <w:color w:val="FFFFFF"/>
                <w:sz w:val="17"/>
              </w:rPr>
              <w:t>Definición</w:t>
            </w:r>
          </w:p>
        </w:tc>
      </w:tr>
      <w:tr>
        <w:tc>
          <w:tcPr>
            <w:tcW w:type="dxa" w:w="2856"/>
          </w:tcPr>
          <w:p>
            <w:r/>
            <w:r>
              <w:rPr>
                <w:rFonts w:ascii="Calibri" w:hAnsi="Calibri"/>
                <w:b w:val="0"/>
                <w:sz w:val="19"/>
              </w:rPr>
              <w:t>Instalación en sitio</w:t>
            </w:r>
          </w:p>
        </w:tc>
        <w:tc>
          <w:tcPr>
            <w:tcW w:type="dxa" w:w="7344"/>
          </w:tcPr>
          <w:p>
            <w:r/>
            <w:r>
              <w:rPr>
                <w:rFonts w:ascii="Calibri" w:hAnsi="Calibri"/>
                <w:b w:val="0"/>
                <w:sz w:val="19"/>
              </w:rPr>
              <w:t>Conjunto de actividades físicas de montaje del sistema fotovoltaico en el predio del cliente, incluyendo estructura de soporte, paneles solares, cableado de corriente directa y alterna, tierra física e inversor, ejecutadas por la cuadrilla de Operaciones conforme al diseño aprobado.</w:t>
            </w:r>
          </w:p>
        </w:tc>
      </w:tr>
      <w:tr>
        <w:tc>
          <w:tcPr>
            <w:tcW w:type="dxa" w:w="2856"/>
          </w:tcPr>
          <w:p>
            <w:r/>
            <w:r>
              <w:rPr>
                <w:rFonts w:ascii="Calibri" w:hAnsi="Calibri"/>
                <w:b w:val="0"/>
                <w:sz w:val="19"/>
              </w:rPr>
              <w:t>EPP (Equipo de Protección Personal)</w:t>
            </w:r>
          </w:p>
        </w:tc>
        <w:tc>
          <w:tcPr>
            <w:tcW w:type="dxa" w:w="7344"/>
          </w:tcPr>
          <w:p>
            <w:r/>
            <w:r>
              <w:rPr>
                <w:rFonts w:ascii="Calibri" w:hAnsi="Calibri"/>
                <w:b w:val="0"/>
                <w:sz w:val="19"/>
              </w:rPr>
              <w:t>Conjunto de elementos de uso individual que protegen a la cuadrilla de riesgos durante la instalación, incluyendo casco, calzado dieléctrico, guantes, lentes de seguridad y arnés con línea de vida cuando se trabaja en altura. Su uso es obligatorio y no queda a criterio del instalador.</w:t>
            </w:r>
          </w:p>
        </w:tc>
      </w:tr>
      <w:tr>
        <w:tc>
          <w:tcPr>
            <w:tcW w:type="dxa" w:w="2856"/>
          </w:tcPr>
          <w:p>
            <w:r/>
            <w:r>
              <w:rPr>
                <w:rFonts w:ascii="Calibri" w:hAnsi="Calibri"/>
                <w:b w:val="0"/>
                <w:sz w:val="19"/>
              </w:rPr>
              <w:t>Trabajo en altura</w:t>
            </w:r>
          </w:p>
        </w:tc>
        <w:tc>
          <w:tcPr>
            <w:tcW w:type="dxa" w:w="7344"/>
          </w:tcPr>
          <w:p>
            <w:r/>
            <w:r>
              <w:rPr>
                <w:rFonts w:ascii="Calibri" w:hAnsi="Calibri"/>
                <w:b w:val="0"/>
                <w:sz w:val="19"/>
              </w:rPr>
              <w:t>Toda actividad de montaje que se realiza a partir de una altura donde existe riesgo de caída, típicamente sobre techo, azotea o estructura elevada. Requiere arnés, anclaje certificado, línea de vida y verificación previa del punto de anclaje antes de subir.</w:t>
            </w:r>
          </w:p>
        </w:tc>
      </w:tr>
      <w:tr>
        <w:tc>
          <w:tcPr>
            <w:tcW w:type="dxa" w:w="2856"/>
          </w:tcPr>
          <w:p>
            <w:r/>
            <w:r>
              <w:rPr>
                <w:rFonts w:ascii="Calibri" w:hAnsi="Calibri"/>
                <w:b w:val="0"/>
                <w:sz w:val="19"/>
              </w:rPr>
              <w:t>Tierra física</w:t>
            </w:r>
          </w:p>
        </w:tc>
        <w:tc>
          <w:tcPr>
            <w:tcW w:type="dxa" w:w="7344"/>
          </w:tcPr>
          <w:p>
            <w:r/>
            <w:r>
              <w:rPr>
                <w:rFonts w:ascii="Calibri" w:hAnsi="Calibri"/>
                <w:b w:val="0"/>
                <w:sz w:val="19"/>
              </w:rPr>
              <w:t>Sistema de puesta a tierra que conduce corrientes de falla y descargas al terreno para proteger a las personas y al equipo. Su continuidad y conexión son puntos de verificación obligatorios del checklist de calidad.</w:t>
            </w:r>
          </w:p>
        </w:tc>
      </w:tr>
      <w:tr>
        <w:tc>
          <w:tcPr>
            <w:tcW w:type="dxa" w:w="2856"/>
          </w:tcPr>
          <w:p>
            <w:r/>
            <w:r>
              <w:rPr>
                <w:rFonts w:ascii="Calibri" w:hAnsi="Calibri"/>
                <w:b w:val="0"/>
                <w:sz w:val="19"/>
              </w:rPr>
              <w:t>Inversor</w:t>
            </w:r>
          </w:p>
        </w:tc>
        <w:tc>
          <w:tcPr>
            <w:tcW w:type="dxa" w:w="7344"/>
          </w:tcPr>
          <w:p>
            <w:r/>
            <w:r>
              <w:rPr>
                <w:rFonts w:ascii="Calibri" w:hAnsi="Calibri"/>
                <w:b w:val="0"/>
                <w:sz w:val="19"/>
              </w:rPr>
              <w:t>Equipo que convierte la corriente directa generada por los paneles en corriente alterna utilizable. Operaciones lo monta y conecta físicamente; su energización y puesta en marcha eléctrica corresponden a Ingeniería en PRO-ING-04.</w:t>
            </w:r>
          </w:p>
        </w:tc>
      </w:tr>
      <w:tr>
        <w:tc>
          <w:tcPr>
            <w:tcW w:type="dxa" w:w="2856"/>
          </w:tcPr>
          <w:p>
            <w:r/>
            <w:r>
              <w:rPr>
                <w:rFonts w:ascii="Calibri" w:hAnsi="Calibri"/>
                <w:b w:val="0"/>
                <w:sz w:val="19"/>
              </w:rPr>
              <w:t>Checklist de Calidad de Instalación (FOR-OPE-03)</w:t>
            </w:r>
          </w:p>
        </w:tc>
        <w:tc>
          <w:tcPr>
            <w:tcW w:type="dxa" w:w="7344"/>
          </w:tcPr>
          <w:p>
            <w:r/>
            <w:r>
              <w:rPr>
                <w:rFonts w:ascii="Calibri" w:hAnsi="Calibri"/>
                <w:b w:val="0"/>
                <w:sz w:val="19"/>
              </w:rPr>
              <w:t>Formato controlado que la cuadrilla llena y firma en sitio al terminar la instalación, verificando criterios medibles de estructura, montaje de paneles, cableado, tierra física, inversor, seguridad y preservación. Es el registro que evidencia que la instalación quedó conforme al diseño.</w:t>
            </w:r>
          </w:p>
        </w:tc>
      </w:tr>
      <w:tr>
        <w:tc>
          <w:tcPr>
            <w:tcW w:type="dxa" w:w="2856"/>
          </w:tcPr>
          <w:p>
            <w:r/>
            <w:r>
              <w:rPr>
                <w:rFonts w:ascii="Calibri" w:hAnsi="Calibri"/>
                <w:b w:val="0"/>
                <w:sz w:val="19"/>
              </w:rPr>
              <w:t>Preservación en sitio</w:t>
            </w:r>
          </w:p>
        </w:tc>
        <w:tc>
          <w:tcPr>
            <w:tcW w:type="dxa" w:w="7344"/>
          </w:tcPr>
          <w:p>
            <w:r/>
            <w:r>
              <w:rPr>
                <w:rFonts w:ascii="Calibri" w:hAnsi="Calibri"/>
                <w:b w:val="0"/>
                <w:sz w:val="19"/>
              </w:rPr>
              <w:t>Cuidado del material fotovoltaico y de la obra durante y después de la instalación para evitar daño, exposición, robo o contaminación, incluyendo el resguardo de conectores, la protección de paneles y el orden del cableado hasta el encendido.</w:t>
            </w:r>
          </w:p>
        </w:tc>
      </w:tr>
      <w:tr>
        <w:tc>
          <w:tcPr>
            <w:tcW w:type="dxa" w:w="2856"/>
          </w:tcPr>
          <w:p>
            <w:r/>
            <w:r>
              <w:rPr>
                <w:rFonts w:ascii="Calibri" w:hAnsi="Calibri"/>
                <w:b w:val="0"/>
                <w:sz w:val="19"/>
              </w:rPr>
              <w:t>Render</w:t>
            </w:r>
          </w:p>
        </w:tc>
        <w:tc>
          <w:tcPr>
            <w:tcW w:type="dxa" w:w="7344"/>
          </w:tcPr>
          <w:p>
            <w:r/>
            <w:r>
              <w:rPr>
                <w:rFonts w:ascii="Calibri" w:hAnsi="Calibri"/>
                <w:b w:val="0"/>
                <w:sz w:val="19"/>
              </w:rPr>
              <w:t>Representación gráfica del diseño aprobado del sistema, elaborada por Ingeniería, que Operaciones consulta para determinar la estructura, la marca y cantidad de paneles, el inversor y el material eléctrico requerido al momento de solicitar el surtido a Almacén.</w:t>
            </w:r>
          </w:p>
        </w:tc>
      </w:tr>
      <w:tr>
        <w:tc>
          <w:tcPr>
            <w:tcW w:type="dxa" w:w="2856"/>
          </w:tcPr>
          <w:p>
            <w:r/>
            <w:r>
              <w:rPr>
                <w:rFonts w:ascii="Calibri" w:hAnsi="Calibri"/>
                <w:b w:val="0"/>
                <w:sz w:val="19"/>
              </w:rPr>
              <w:t>Packing list</w:t>
            </w:r>
          </w:p>
        </w:tc>
        <w:tc>
          <w:tcPr>
            <w:tcW w:type="dxa" w:w="7344"/>
          </w:tcPr>
          <w:p>
            <w:r/>
            <w:r>
              <w:rPr>
                <w:rFonts w:ascii="Calibri" w:hAnsi="Calibri"/>
                <w:b w:val="0"/>
                <w:sz w:val="19"/>
              </w:rPr>
              <w:t>Documento que detalla las partidas físicas entregadas de un pedido de material. Almacén lo entrega a Compras para la entrada a Bind; Operaciones lo usa como referencia de lo que debe llegar a la obra.</w:t>
            </w:r>
          </w:p>
        </w:tc>
      </w:tr>
    </w:tbl>
    <w:p>
      <w:pPr>
        <w:keepNext/>
        <w:spacing w:before="240" w:after="80"/>
        <w:pBdr>
          <w:bottom w:val="single" w:sz="8" w:color="F0E528"/>
        </w:pBdr>
      </w:pPr>
      <w:r>
        <w:rPr>
          <w:rFonts w:ascii="Georgia" w:hAnsi="Georgia"/>
          <w:b/>
          <w:color w:val="0056B4"/>
          <w:sz w:val="22"/>
        </w:rPr>
        <w:t>4. DOCUMENTOS DE REFERENCIA</w:t>
      </w:r>
    </w:p>
    <w:p>
      <w:pPr>
        <w:pStyle w:val="ListBullet"/>
      </w:pPr>
      <w:r>
        <w:rPr>
          <w:rFonts w:ascii="Calibri" w:hAnsi="Calibri"/>
          <w:sz w:val="20"/>
        </w:rPr>
        <w:t>ISO 9001:2015Cláusula 8.5.1 Control de la producción y de la provisión del servicio; cláusula 8.5.4 Preservación.</w:t>
      </w:r>
    </w:p>
    <w:p>
      <w:pPr>
        <w:pStyle w:val="ListBullet"/>
      </w:pPr>
      <w:r>
        <w:rPr>
          <w:rFonts w:ascii="Calibri" w:hAnsi="Calibri"/>
          <w:sz w:val="20"/>
        </w:rPr>
        <w:t>PRO-ING-03Diseño del sistema fotovoltaico, origen del render que Operaciones consulta para el surtido y el montaje.</w:t>
      </w:r>
    </w:p>
    <w:p>
      <w:pPr>
        <w:pStyle w:val="ListBullet"/>
      </w:pPr>
      <w:r>
        <w:rPr>
          <w:rFonts w:ascii="Calibri" w:hAnsi="Calibri"/>
          <w:sz w:val="20"/>
        </w:rPr>
        <w:t>PRO-ING-04Encendido del sistema. Frontera de salida de este procedimiento: Operaciones entrega la instalación terminada a Ingeniería para su energización y revisión eléctrica.</w:t>
      </w:r>
    </w:p>
    <w:p>
      <w:pPr>
        <w:pStyle w:val="ListBullet"/>
      </w:pPr>
      <w:r>
        <w:rPr>
          <w:rFonts w:ascii="Calibri" w:hAnsi="Calibri"/>
          <w:sz w:val="20"/>
        </w:rPr>
        <w:t>PRO-PVMProcedimientos de Postventa (PRO-PVM-01 a PRO-PVM-05). Destino de retrabajos, defectos y atención posterior a la entrega.</w:t>
      </w:r>
    </w:p>
    <w:p>
      <w:pPr>
        <w:pStyle w:val="ListBullet"/>
      </w:pPr>
      <w:r>
        <w:rPr>
          <w:rFonts w:ascii="Calibri" w:hAnsi="Calibri"/>
          <w:sz w:val="20"/>
        </w:rPr>
        <w:t>PRO-VEN-05Liberación de cobranza. Frontera con Comercial y Administración: la instalación entrega evidencia, no maneja pagos.</w:t>
      </w:r>
    </w:p>
    <w:p>
      <w:pPr>
        <w:pStyle w:val="ListBullet"/>
      </w:pPr>
      <w:r>
        <w:rPr>
          <w:rFonts w:ascii="Calibri" w:hAnsi="Calibri"/>
          <w:sz w:val="20"/>
        </w:rPr>
        <w:t>FOR-OPE-03Checklist de Calidad de Instalación, registro obligatorio firmado en sitio por la cuadrilla al cierre.</w:t>
      </w:r>
    </w:p>
    <w:p>
      <w:pPr>
        <w:pStyle w:val="ListBullet"/>
      </w:pPr>
      <w:r>
        <w:rPr>
          <w:rFonts w:ascii="Calibri" w:hAnsi="Calibri"/>
          <w:sz w:val="20"/>
        </w:rPr>
        <w:t>Formatos de campo existentesActa de Conformidad, Encuesta de Encendido, Checklist de Vuelo y Encuesta de Revisión. El cierre de instalación los referencia, no los reinventa.</w:t>
      </w:r>
    </w:p>
    <w:p>
      <w:pPr>
        <w:pStyle w:val="ListBullet"/>
      </w:pPr>
      <w:r>
        <w:rPr>
          <w:rFonts w:ascii="Calibri" w:hAnsi="Calibri"/>
          <w:sz w:val="20"/>
        </w:rPr>
        <w:t>SOL-PROC-001Control de documentos y registros del SGC de SolarPro, aplicable a la versión y resguardo de este procedimiento y de FOR-OPE-03.</w:t>
      </w:r>
    </w:p>
    <w:p>
      <w:pPr>
        <w:keepNext/>
        <w:spacing w:before="240" w:after="80"/>
        <w:pBdr>
          <w:bottom w:val="single" w:sz="8" w:color="F0E528"/>
        </w:pBdr>
      </w:pPr>
      <w:r>
        <w:rPr>
          <w:rFonts w:ascii="Georgia" w:hAnsi="Georgia"/>
          <w:b/>
          <w:color w:val="0056B4"/>
          <w:sz w:val="22"/>
        </w:rPr>
        <w:t>5. RESPONSABILIDADES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3060"/>
            <w:shd w:val="clear" w:fill="0056B4"/>
          </w:tcPr>
          <w:p>
            <w:pPr>
              <w:jc w:val="center"/>
            </w:pPr>
            <w:r/>
            <w:r>
              <w:rPr>
                <w:rFonts w:ascii="Calibri" w:hAnsi="Calibri"/>
                <w:b/>
                <w:color w:val="FFFFFF"/>
                <w:sz w:val="17"/>
              </w:rPr>
              <w:t>Responsable</w:t>
            </w:r>
          </w:p>
        </w:tc>
        <w:tc>
          <w:tcPr>
            <w:tcW w:type="dxa" w:w="7140"/>
            <w:shd w:val="clear" w:fill="0056B4"/>
          </w:tcPr>
          <w:p>
            <w:pPr>
              <w:jc w:val="center"/>
            </w:pPr>
            <w:r/>
            <w:r>
              <w:rPr>
                <w:rFonts w:ascii="Calibri" w:hAnsi="Calibri"/>
                <w:b/>
                <w:color w:val="FFFFFF"/>
                <w:sz w:val="17"/>
              </w:rPr>
              <w:t>Funciones</w:t>
            </w:r>
          </w:p>
        </w:tc>
      </w:tr>
      <w:tr>
        <w:tc>
          <w:tcPr>
            <w:tcW w:type="dxa" w:w="3060"/>
          </w:tcPr>
          <w:p>
            <w:r/>
            <w:r>
              <w:rPr>
                <w:rFonts w:ascii="Calibri" w:hAnsi="Calibri"/>
                <w:b w:val="0"/>
                <w:sz w:val="19"/>
              </w:rPr>
              <w:t>Coordinador de Operaciones</w:t>
            </w:r>
          </w:p>
        </w:tc>
        <w:tc>
          <w:tcPr>
            <w:tcW w:type="dxa" w:w="7140"/>
          </w:tcPr>
          <w:p>
            <w:r/>
            <w:r>
              <w:rPr>
                <w:rFonts w:ascii="Calibri" w:hAnsi="Calibri"/>
                <w:b w:val="0"/>
                <w:sz w:val="19"/>
              </w:rPr>
              <w:t>Armar el programa semanal de instalaciones con base en la lista de clientes con anticipo confirmado que cada vendedor entrega el jueves.  ·  Priorizar las instalaciones más atrasadas y repartir la programación una instalación por vendedor.  ·  Confirmar vía el vendedor que el cliente conoce la fecha y hora de la instalación, causa frecuente de vueltas en falso cuando se omite.  ·  Coordinar el surtido de material con Almacén mediante el formato de requerimiento, elaborado a partir del render.  ·  Confirmar que cada instalación programada cuenta con anticipo antes de abrir la obra.  ·  Canalizar a Postventa cualquier retrabajo o defecto reportado tras la entrega.</w:t>
            </w:r>
          </w:p>
        </w:tc>
      </w:tr>
      <w:tr>
        <w:tc>
          <w:tcPr>
            <w:tcW w:type="dxa" w:w="3060"/>
          </w:tcPr>
          <w:p>
            <w:r/>
            <w:r>
              <w:rPr>
                <w:rFonts w:ascii="Calibri" w:hAnsi="Calibri"/>
                <w:b w:val="0"/>
                <w:sz w:val="19"/>
              </w:rPr>
              <w:t>Instalador líder (jefe de cuadrilla)</w:t>
            </w:r>
          </w:p>
        </w:tc>
        <w:tc>
          <w:tcPr>
            <w:tcW w:type="dxa" w:w="7140"/>
          </w:tcPr>
          <w:p>
            <w:r/>
            <w:r>
              <w:rPr>
                <w:rFonts w:ascii="Calibri" w:hAnsi="Calibri"/>
                <w:b w:val="0"/>
                <w:sz w:val="19"/>
              </w:rPr>
              <w:t>Verificar EPP completo de la cuadrilla y las condiciones de trabajo en altura antes de subir a techo o estructura.  ·  Verificar en sitio que el material recibido coincida con el render y el formato de requerimiento antes de iniciar.  ·  Ejecutar y supervisar el montaje de estructura, paneles, cableado, tierra física e inversor conforme al diseño.  ·  Llenar y firmar el Checklist de Calidad de Instalación (FOR-OPE-03) en sitio al terminar.  ·  Asegurar la preservación del material y la obra, y entregar la instalación terminada a Ingeniería para el encendido.</w:t>
            </w:r>
          </w:p>
        </w:tc>
      </w:tr>
      <w:tr>
        <w:tc>
          <w:tcPr>
            <w:tcW w:type="dxa" w:w="3060"/>
          </w:tcPr>
          <w:p>
            <w:r/>
            <w:r>
              <w:rPr>
                <w:rFonts w:ascii="Calibri" w:hAnsi="Calibri"/>
                <w:b w:val="0"/>
                <w:sz w:val="19"/>
              </w:rPr>
              <w:t>Cuadrilla de instalación</w:t>
            </w:r>
          </w:p>
        </w:tc>
        <w:tc>
          <w:tcPr>
            <w:tcW w:type="dxa" w:w="7140"/>
          </w:tcPr>
          <w:p>
            <w:r/>
            <w:r>
              <w:rPr>
                <w:rFonts w:ascii="Calibri" w:hAnsi="Calibri"/>
                <w:b w:val="0"/>
                <w:sz w:val="19"/>
              </w:rPr>
              <w:t>Usar en todo momento el EPP asignado y los sistemas de anclaje en trabajo en altura.  ·  Revisar cada panel antes de instalarlo para detectar fracturas o daño interno.  ·  Ejecutar el montaje conforme a las indicaciones del instalador líder y al diseño.  ·  Resguardar conectores, cableado y equipo pendiente de conexión hasta el encendido.  ·  Levantar el registro fotográfico del estado final de la instalación.</w:t>
            </w:r>
          </w:p>
        </w:tc>
      </w:tr>
      <w:tr>
        <w:tc>
          <w:tcPr>
            <w:tcW w:type="dxa" w:w="3060"/>
          </w:tcPr>
          <w:p>
            <w:r/>
            <w:r>
              <w:rPr>
                <w:rFonts w:ascii="Calibri" w:hAnsi="Calibri"/>
                <w:b w:val="0"/>
                <w:sz w:val="19"/>
              </w:rPr>
              <w:t>Almacén (interfaz de surtido)</w:t>
            </w:r>
          </w:p>
        </w:tc>
        <w:tc>
          <w:tcPr>
            <w:tcW w:type="dxa" w:w="7140"/>
          </w:tcPr>
          <w:p>
            <w:r/>
            <w:r>
              <w:rPr>
                <w:rFonts w:ascii="Calibri" w:hAnsi="Calibri"/>
                <w:b w:val="0"/>
                <w:sz w:val="19"/>
              </w:rPr>
              <w:t>Recibir el formato de requerimiento de Operaciones y verificar disponibilidad de material el día del programa.  ·  Surtir estructura, paneles, inversor y material eléctrico según lo solicitado.  ·  Entregar el packing list del material despachado a la cuadrilla como referencia.  ·  Reportar de inmediato cualquier faltante o descuadre de material.</w:t>
            </w:r>
          </w:p>
        </w:tc>
      </w:tr>
      <w:tr>
        <w:tc>
          <w:tcPr>
            <w:tcW w:type="dxa" w:w="3060"/>
          </w:tcPr>
          <w:p>
            <w:r/>
            <w:r>
              <w:rPr>
                <w:rFonts w:ascii="Calibri" w:hAnsi="Calibri"/>
                <w:b w:val="0"/>
                <w:sz w:val="19"/>
              </w:rPr>
              <w:t>Ingeniería (interfaz de encendido)</w:t>
            </w:r>
          </w:p>
        </w:tc>
        <w:tc>
          <w:tcPr>
            <w:tcW w:type="dxa" w:w="7140"/>
          </w:tcPr>
          <w:p>
            <w:r/>
            <w:r>
              <w:rPr>
                <w:rFonts w:ascii="Calibri" w:hAnsi="Calibri"/>
                <w:b w:val="0"/>
                <w:sz w:val="19"/>
              </w:rPr>
              <w:t>Proveer el render del diseño aprobado que Operaciones consulta para el surtido y el montaje.  ·  Recibir la instalación terminada con su checklist firmado.  ·  Ejecutar el encendido y la revisión eléctrica de puesta en marcha bajo PRO-ING-04.  ·  Regresar a Operaciones cualquier observación de montaje detectada antes de energizar.</w:t>
            </w:r>
          </w:p>
        </w:tc>
      </w:tr>
    </w:tbl>
    <w:p>
      <w:pPr>
        <w:keepNext/>
        <w:spacing w:before="240" w:after="80"/>
        <w:pBdr>
          <w:bottom w:val="single" w:sz="8" w:color="F0E528"/>
        </w:pBdr>
      </w:pPr>
      <w:r>
        <w:rPr>
          <w:rFonts w:ascii="Georgia" w:hAnsi="Georgia"/>
          <w:b/>
          <w:color w:val="0056B4"/>
          <w:sz w:val="22"/>
        </w:rPr>
        <w:t>6. POLÍTICAS Y LINEAMIENTOS</w:t>
      </w:r>
    </w:p>
    <w:p>
      <w:pPr>
        <w:spacing w:after="100"/>
      </w:pPr>
      <w:r>
        <w:rPr>
          <w:b/>
          <w:color w:val="0056B4"/>
          <w:sz w:val="20"/>
        </w:rPr>
        <w:t xml:space="preserve">EPP y trabajo en altura obligatorios sin excepción. </w:t>
      </w:r>
      <w:r>
        <w:rPr>
          <w:rFonts w:ascii="Calibri" w:hAnsi="Calibri"/>
          <w:sz w:val="20"/>
        </w:rPr>
        <w:t>El uso de equipo de protección personal y los controles de trabajo en altura no quedan a criterio del instalador ni dependen de la duración del montaje. Hoy se aplican de manera intermitente, lo que expone a la cuadrilla a caídas y descargas. A partir de este procedimiento, ninguna instalación inicia sin verificar EPP completo y, cuando hay trabajo sobre techo o estructura elevada, sin arnés anclado y línea de vida verificada. La seguridad es un control de proceso, no una opción.</w:t>
      </w:r>
    </w:p>
    <w:p>
      <w:pPr>
        <w:spacing w:after="100"/>
      </w:pPr>
      <w:r>
        <w:rPr>
          <w:b/>
          <w:color w:val="0056B4"/>
          <w:sz w:val="20"/>
        </w:rPr>
        <w:t xml:space="preserve">No se inicia instalación sin material verificado contra el render. </w:t>
      </w:r>
      <w:r>
        <w:rPr>
          <w:rFonts w:ascii="Calibri" w:hAnsi="Calibri"/>
          <w:sz w:val="20"/>
        </w:rPr>
        <w:t>La cuadrilla verifica en sitio que la estructura, la marca y cantidad de paneles, el inversor y el material eléctrico coincidan con lo definido en el render y en el formato de requerimiento surtido por Almacén. Iniciar con material incompleto genera vueltas en falso y reprogramaciones. Si falta material, se reporta antes de abrir la obra. [Por validar con SolarPro: qué material falta con más frecuencia en obra].</w:t>
      </w:r>
    </w:p>
    <w:p>
      <w:pPr>
        <w:spacing w:after="100"/>
      </w:pPr>
      <w:r>
        <w:rPr>
          <w:b/>
          <w:color w:val="0056B4"/>
          <w:sz w:val="20"/>
        </w:rPr>
        <w:t xml:space="preserve">El checklist de calidad se firma en sitio antes de retirarse. </w:t>
      </w:r>
      <w:r>
        <w:rPr>
          <w:rFonts w:ascii="Calibri" w:hAnsi="Calibri"/>
          <w:sz w:val="20"/>
        </w:rPr>
        <w:t>La instalación no se considera terminada mientras el Checklist de Calidad de Instalación (FOR-OPE-03) no esté completo y firmado por el instalador líder en el domicilio del cliente. El checklist verifica criterios medibles de estructura, paneles, cableado, tierra física e inversor. Firmar después o en oficina rompe la trazabilidad de lo que realmente quedó en sitio.</w:t>
      </w:r>
    </w:p>
    <w:p>
      <w:pPr>
        <w:spacing w:after="100"/>
      </w:pPr>
      <w:r>
        <w:rPr>
          <w:b/>
          <w:color w:val="0056B4"/>
          <w:sz w:val="20"/>
        </w:rPr>
        <w:t xml:space="preserve">Preservación del material y de la obra durante la instalación. </w:t>
      </w:r>
      <w:r>
        <w:rPr>
          <w:rFonts w:ascii="Calibri" w:hAnsi="Calibri"/>
          <w:sz w:val="20"/>
        </w:rPr>
        <w:t>Los paneles, conectores, inversor y material eléctrico se protegen de golpes, humedad, polvo y exposición durante todo el montaje. Se ha detectado material que llega en tarima sin daño externo pero fracturado por dentro, por lo que la cuadrilla revisa cada panel antes de instalarlo y resguarda lo que queda pendiente de conexión hasta el encendido. Preservar evita defectos que después caen en Postventa.</w:t>
      </w:r>
    </w:p>
    <w:p>
      <w:pPr>
        <w:spacing w:after="100"/>
      </w:pPr>
      <w:r>
        <w:rPr>
          <w:b/>
          <w:color w:val="0056B4"/>
          <w:sz w:val="20"/>
        </w:rPr>
        <w:t xml:space="preserve">Frontera con Ingeniería: el encendido no lo ejecuta Operaciones. </w:t>
      </w:r>
      <w:r>
        <w:rPr>
          <w:rFonts w:ascii="Calibri" w:hAnsi="Calibri"/>
          <w:sz w:val="20"/>
        </w:rPr>
        <w:t>Operaciones monta y conecta físicamente el inversor y deja la instalación lista, pero no energiza el sistema ni realiza la revisión eléctrica de puesta en marcha. El encendido es de Ingeniería en PRO-ING-04. La cuadrilla entrega la instalación terminada con su checklist firmado; cualquier prueba de operación se coordina con Ingeniería, no se improvisa en campo.</w:t>
      </w:r>
    </w:p>
    <w:p>
      <w:pPr>
        <w:spacing w:after="100"/>
      </w:pPr>
      <w:r>
        <w:rPr>
          <w:b/>
          <w:color w:val="0056B4"/>
          <w:sz w:val="20"/>
        </w:rPr>
        <w:t xml:space="preserve">Frontera con Postventa: retrabajos y defectos se canalizan formalmente. </w:t>
      </w:r>
      <w:r>
        <w:rPr>
          <w:rFonts w:ascii="Calibri" w:hAnsi="Calibri"/>
          <w:sz w:val="20"/>
        </w:rPr>
        <w:t>Si tras la entrega el cliente reporta una falla, un defecto o requiere un ajuste, Operaciones no regresa a improvisar la corrección. El caso se pasa a Postventa con los datos del cliente para su atención bajo PRO-PVM. Esto mantiene separada la ejecución de la instalación de la gestión de garantías y correcciones.</w:t>
      </w:r>
    </w:p>
    <w:p>
      <w:pPr>
        <w:spacing w:after="100"/>
      </w:pPr>
      <w:r>
        <w:rPr>
          <w:b/>
          <w:color w:val="0056B4"/>
          <w:sz w:val="20"/>
        </w:rPr>
        <w:t xml:space="preserve">Programa de instalación solo con anticipo confirmado. </w:t>
      </w:r>
      <w:r>
        <w:rPr>
          <w:rFonts w:ascii="Calibri" w:hAnsi="Calibri"/>
          <w:sz w:val="20"/>
        </w:rPr>
        <w:t>El programa semanal se arma con clientes que tienen anticipo confirmado por el vendedor, priorizando las instalaciones más atrasadas y repartiendo la programación una instalación por vendedor. Programar sin anticipo confirmado, práctica que hoy ocurre a veces, provoca vueltas en falso por falta de condiciones en el sitio, como ausencia de 220v. La falta de aviso de fecha y hora del vendedor al cliente es otra causa frecuente de reprogramaciones, por lo que el vendedor confirma la visita con el cliente antes del día programado. Operaciones no abre obra sin la confirmación del anticipo.</w:t>
      </w:r>
    </w:p>
    <w:p>
      <w:pPr>
        <w:spacing w:after="100"/>
      </w:pPr>
      <w:r>
        <w:rPr>
          <w:b/>
          <w:color w:val="0056B4"/>
          <w:sz w:val="20"/>
        </w:rPr>
        <w:t xml:space="preserve">Frontera con Comercial y Administración: la liberación de cobranza no es de Operaciones. </w:t>
      </w:r>
      <w:r>
        <w:rPr>
          <w:rFonts w:ascii="Calibri" w:hAnsi="Calibri"/>
          <w:sz w:val="20"/>
        </w:rPr>
        <w:t>La cuadrilla entrega evidencia de la instalación terminada, incluyendo el checklist firmado y el registro fotográfico, pero no libera saldos ni gestiona pagos. La liberación de cobranza corresponde a Comercial y Administración bajo PRO-VEN-05. Operaciones aporta la prueba de ejecución, no decide sobre el cobro.</w:t>
      </w:r>
    </w:p>
    <w:p>
      <w:pPr>
        <w:spacing w:after="100"/>
      </w:pPr>
      <w:r>
        <w:rPr>
          <w:b/>
          <w:color w:val="0056B4"/>
          <w:sz w:val="20"/>
        </w:rPr>
        <w:t xml:space="preserve">Registro de evidencia consistente de la instalación. </w:t>
      </w:r>
      <w:r>
        <w:rPr>
          <w:rFonts w:ascii="Calibri" w:hAnsi="Calibri"/>
          <w:sz w:val="20"/>
        </w:rPr>
        <w:t>Cada instalación deja evidencia trazable: checklist FOR-OPE-03 firmado y registro fotográfico del estado final de estructura, paneles, cableado, tierra física e inversor. La consistencia y el medio de resguardo de esta evidencia quedan pendientes de definir. [Por validar con SolarPro: uso y estandarización de Trello como repositorio de evidencias]. La evidencia sostiene la conformidad ante Ingeniería, Postventa y el cliente.</w:t>
      </w:r>
    </w:p>
    <w:p>
      <w:pPr>
        <w:keepNext/>
        <w:spacing w:before="240" w:after="80"/>
        <w:pBdr>
          <w:bottom w:val="single" w:sz="8" w:color="F0E528"/>
        </w:pBdr>
      </w:pPr>
      <w:r>
        <w:rPr>
          <w:rFonts w:ascii="Georgia" w:hAnsi="Georgia"/>
          <w:b/>
          <w:color w:val="0056B4"/>
          <w:sz w:val="22"/>
        </w:rPr>
        <w:t>7. DESARROLLO DEL PROCEDIMIENTO</w:t>
      </w:r>
    </w:p>
    <w:p>
      <w:pPr>
        <w:spacing w:after="80"/>
      </w:pPr>
      <w:r>
        <w:rPr>
          <w:rFonts w:ascii="Calibri" w:hAnsi="Calibri"/>
          <w:color w:val="1C242E"/>
          <w:sz w:val="20"/>
        </w:rPr>
        <w:t>El procedimiento se ejecuta en cinco fases secuenciales: preparación y surtido de material, habilitación de seguridad en sitio, ejecución del montaje, verificación de calidad con checklist firmado y preservación, y cierre con entrega a Ingeniería para el encendido. Cada fase define responsable, registro o formato asociado y su frontera con las áreas adyacentes, de modo que la cuadrilla sepa dónde empieza y dónde termina su responsabilidad.</w:t>
      </w:r>
    </w:p>
    <w:p>
      <w:pPr>
        <w:spacing w:before="160" w:after="60"/>
      </w:pPr>
      <w:r>
        <w:rPr>
          <w:b/>
          <w:color w:val="1C242E"/>
          <w:sz w:val="21"/>
        </w:rPr>
        <w:t>Fase 1. Preparación y surtido de material</w:t>
      </w:r>
    </w:p>
    <w:p>
      <w:pPr>
        <w:spacing w:after="60"/>
        <w:ind w:left="340"/>
      </w:pPr>
      <w:r>
        <w:rPr>
          <w:rFonts w:ascii="Calibri" w:hAnsi="Calibri"/>
          <w:i/>
          <w:color w:val="595959"/>
          <w:sz w:val="19"/>
        </w:rPr>
        <w:t>Operaciones confirma el programa con anticipo, arma el requerimiento desde el render y coordina el surtido con Almacén antes de desplazarse al sitio.</w:t>
      </w:r>
    </w:p>
    <w:p>
      <w:pPr>
        <w:spacing w:after="60"/>
        <w:ind w:left="340"/>
      </w:pPr>
      <w:r>
        <w:rPr>
          <w:b/>
          <w:sz w:val="20"/>
        </w:rPr>
        <w:t xml:space="preserve">1. Confirmar el programa y el anticipo del cliente </w:t>
      </w:r>
      <w:r>
        <w:rPr>
          <w:rFonts w:ascii="Calibri" w:hAnsi="Calibri"/>
          <w:sz w:val="20"/>
        </w:rPr>
        <w:t>· El Coordinador de Operaciones valida que cada instalación programada cuenta con anticipo confirmado por el vendedor y que el cliente conoce la fecha y hora antes de abrir la obra, para evitar vueltas en falso por falta de condiciones en el sitio como la ausencia de 220v.</w:t>
      </w:r>
    </w:p>
    <w:p>
      <w:pPr>
        <w:spacing w:after="20"/>
        <w:ind w:left="680"/>
      </w:pPr>
      <w:r>
        <w:rPr>
          <w:b/>
          <w:color w:val="595959"/>
          <w:sz w:val="18"/>
        </w:rPr>
        <w:t xml:space="preserve">Responsable: </w:t>
      </w:r>
      <w:r>
        <w:rPr>
          <w:rFonts w:ascii="Calibri" w:hAnsi="Calibri"/>
          <w:color w:val="595959"/>
          <w:sz w:val="18"/>
        </w:rPr>
        <w:t>Coordinador de Operaciones.</w:t>
      </w:r>
    </w:p>
    <w:p>
      <w:pPr>
        <w:spacing w:after="20"/>
        <w:ind w:left="680"/>
      </w:pPr>
      <w:r>
        <w:rPr>
          <w:b/>
          <w:color w:val="595959"/>
          <w:sz w:val="18"/>
        </w:rPr>
        <w:t xml:space="preserve">Control: </w:t>
      </w:r>
      <w:r>
        <w:rPr>
          <w:rFonts w:ascii="Calibri" w:hAnsi="Calibri"/>
          <w:color w:val="595959"/>
          <w:sz w:val="18"/>
        </w:rPr>
        <w:t>No se abre obra sin anticipo confirmado ni sin confirmación de fecha y hora al cliente vía el vendedor.</w:t>
      </w:r>
    </w:p>
    <w:p>
      <w:pPr>
        <w:spacing w:after="60"/>
        <w:ind w:left="340"/>
      </w:pPr>
      <w:r>
        <w:rPr>
          <w:b/>
          <w:sz w:val="20"/>
        </w:rPr>
        <w:t xml:space="preserve">2. Elaborar el formato de requerimiento desde el render </w:t>
      </w:r>
      <w:r>
        <w:rPr>
          <w:rFonts w:ascii="Calibri" w:hAnsi="Calibri"/>
          <w:sz w:val="20"/>
        </w:rPr>
        <w:t>· El Coordinador consulta el render del diseño aprobado y llena el formato de requerimiento apuntando la estructura, la marca y cantidad de paneles, el inversor y el material eléctrico que debe surtir Almacén.</w:t>
      </w:r>
    </w:p>
    <w:p>
      <w:pPr>
        <w:spacing w:after="20"/>
        <w:ind w:left="680"/>
      </w:pPr>
      <w:r>
        <w:rPr>
          <w:b/>
          <w:color w:val="595959"/>
          <w:sz w:val="18"/>
        </w:rPr>
        <w:t xml:space="preserve">Responsable: </w:t>
      </w:r>
      <w:r>
        <w:rPr>
          <w:rFonts w:ascii="Calibri" w:hAnsi="Calibri"/>
          <w:color w:val="595959"/>
          <w:sz w:val="18"/>
        </w:rPr>
        <w:t>Coordinador de Operaciones.</w:t>
      </w:r>
    </w:p>
    <w:p>
      <w:pPr>
        <w:spacing w:after="20"/>
        <w:ind w:left="680"/>
      </w:pPr>
      <w:r>
        <w:rPr>
          <w:b/>
          <w:color w:val="595959"/>
          <w:sz w:val="18"/>
        </w:rPr>
        <w:t xml:space="preserve">Formato: </w:t>
      </w:r>
      <w:r>
        <w:rPr>
          <w:rFonts w:ascii="Calibri" w:hAnsi="Calibri"/>
          <w:color w:val="595959"/>
          <w:sz w:val="18"/>
        </w:rPr>
        <w:t>Formato de requerimiento de material a Almacén, elaborado a partir del render.</w:t>
      </w:r>
    </w:p>
    <w:p>
      <w:pPr>
        <w:spacing w:after="20"/>
        <w:ind w:left="680"/>
      </w:pPr>
      <w:r>
        <w:rPr>
          <w:b/>
          <w:color w:val="595959"/>
          <w:sz w:val="18"/>
        </w:rPr>
        <w:t xml:space="preserve">Interfaz: </w:t>
      </w:r>
      <w:r>
        <w:rPr>
          <w:rFonts w:ascii="Calibri" w:hAnsi="Calibri"/>
          <w:color w:val="595959"/>
          <w:sz w:val="18"/>
        </w:rPr>
        <w:t>El render proviene de Ingeniería (PRO-ING-03); Operaciones lo consulta, no lo diseña.</w:t>
      </w:r>
    </w:p>
    <w:p>
      <w:pPr>
        <w:spacing w:after="60"/>
        <w:ind w:left="340"/>
      </w:pPr>
      <w:r>
        <w:rPr>
          <w:b/>
          <w:sz w:val="20"/>
        </w:rPr>
        <w:t xml:space="preserve">3. Coordinar el surtido y recibir el packing list </w:t>
      </w:r>
      <w:r>
        <w:rPr>
          <w:rFonts w:ascii="Calibri" w:hAnsi="Calibri"/>
          <w:sz w:val="20"/>
        </w:rPr>
        <w:t>· Almacén verifica la disponibilidad el día del programa, surte estructura, paneles, inversor y material eléctrico según lo solicitado y entrega el packing list a la cuadrilla como referencia de lo que debe llegar a la obra.</w:t>
      </w:r>
    </w:p>
    <w:p>
      <w:pPr>
        <w:spacing w:after="20"/>
        <w:ind w:left="680"/>
      </w:pPr>
      <w:r>
        <w:rPr>
          <w:b/>
          <w:color w:val="595959"/>
          <w:sz w:val="18"/>
        </w:rPr>
        <w:t xml:space="preserve">Responsable: </w:t>
      </w:r>
      <w:r>
        <w:rPr>
          <w:rFonts w:ascii="Calibri" w:hAnsi="Calibri"/>
          <w:color w:val="595959"/>
          <w:sz w:val="18"/>
        </w:rPr>
        <w:t>Almacén, con el Coordinador de Operaciones.</w:t>
      </w:r>
    </w:p>
    <w:p>
      <w:pPr>
        <w:spacing w:after="20"/>
        <w:ind w:left="680"/>
      </w:pPr>
      <w:r>
        <w:rPr>
          <w:b/>
          <w:color w:val="595959"/>
          <w:sz w:val="18"/>
        </w:rPr>
        <w:t xml:space="preserve">Formato: </w:t>
      </w:r>
      <w:r>
        <w:rPr>
          <w:rFonts w:ascii="Calibri" w:hAnsi="Calibri"/>
          <w:color w:val="595959"/>
          <w:sz w:val="18"/>
        </w:rPr>
        <w:t>Packing list del material despachado, entregado a la cuadrilla como referencia.</w:t>
      </w:r>
    </w:p>
    <w:p>
      <w:pPr>
        <w:spacing w:after="20"/>
        <w:ind w:left="680"/>
      </w:pPr>
      <w:r>
        <w:rPr>
          <w:b/>
          <w:color w:val="595959"/>
          <w:sz w:val="18"/>
        </w:rPr>
        <w:t xml:space="preserve">Frontera: </w:t>
      </w:r>
      <w:r>
        <w:rPr>
          <w:rFonts w:ascii="Calibri" w:hAnsi="Calibri"/>
          <w:color w:val="595959"/>
          <w:sz w:val="18"/>
        </w:rPr>
        <w:t>La entrada de material a Bind la hace Compras desde el packing list; Almacén verifica y entrega, no registra en Bind. [Por validar con SolarPro: verificación de kit o material completo al llegar a obra].</w:t>
      </w:r>
    </w:p>
    <w:p>
      <w:pPr>
        <w:spacing w:before="160" w:after="60"/>
      </w:pPr>
      <w:r>
        <w:rPr>
          <w:b/>
          <w:color w:val="1C242E"/>
          <w:sz w:val="21"/>
        </w:rPr>
        <w:t>Fase 2. Habilitación de seguridad en sitio</w:t>
      </w:r>
    </w:p>
    <w:p>
      <w:pPr>
        <w:spacing w:after="60"/>
        <w:ind w:left="340"/>
      </w:pPr>
      <w:r>
        <w:rPr>
          <w:rFonts w:ascii="Calibri" w:hAnsi="Calibri"/>
          <w:i/>
          <w:color w:val="595959"/>
          <w:sz w:val="19"/>
        </w:rPr>
        <w:t>Antes de cualquier montaje, el instalador líder habilita la seguridad de la cuadrilla como control obligatorio de arranque de la obra.</w:t>
      </w:r>
    </w:p>
    <w:p>
      <w:pPr>
        <w:spacing w:after="60"/>
        <w:ind w:left="340"/>
      </w:pPr>
      <w:r>
        <w:rPr>
          <w:b/>
          <w:sz w:val="20"/>
        </w:rPr>
        <w:t xml:space="preserve">4. Verificar EPP completo de la cuadrilla </w:t>
      </w:r>
      <w:r>
        <w:rPr>
          <w:rFonts w:ascii="Calibri" w:hAnsi="Calibri"/>
          <w:sz w:val="20"/>
        </w:rPr>
        <w:t>· Al llegar al domicilio o predio, el instalador líder confirma que toda la cuadrilla cuente con casco, calzado dieléctrico, guantes y lentes de seguridad en buen estado, y que la herramienta esté aislada donde aplique, antes de iniciar cualquier actividad.</w:t>
      </w:r>
    </w:p>
    <w:p>
      <w:pPr>
        <w:spacing w:after="20"/>
        <w:ind w:left="680"/>
      </w:pPr>
      <w:r>
        <w:rPr>
          <w:b/>
          <w:color w:val="595959"/>
          <w:sz w:val="18"/>
        </w:rPr>
        <w:t xml:space="preserve">Responsable: </w:t>
      </w:r>
      <w:r>
        <w:rPr>
          <w:rFonts w:ascii="Calibri" w:hAnsi="Calibri"/>
          <w:color w:val="595959"/>
          <w:sz w:val="18"/>
        </w:rPr>
        <w:t>Instalador líder, verificación aplicable a toda la cuadrilla.</w:t>
      </w:r>
    </w:p>
    <w:p>
      <w:pPr>
        <w:spacing w:after="20"/>
        <w:ind w:left="680"/>
      </w:pPr>
      <w:r>
        <w:rPr>
          <w:b/>
          <w:color w:val="595959"/>
          <w:sz w:val="18"/>
        </w:rPr>
        <w:t xml:space="preserve">Control: </w:t>
      </w:r>
      <w:r>
        <w:rPr>
          <w:rFonts w:ascii="Calibri" w:hAnsi="Calibri"/>
          <w:color w:val="595959"/>
          <w:sz w:val="18"/>
        </w:rPr>
        <w:t>Verificación de EPP registrada en la sección de seguridad de FOR-OPE-03 antes de iniciar el montaje.</w:t>
      </w:r>
    </w:p>
    <w:p>
      <w:pPr>
        <w:spacing w:after="60"/>
        <w:ind w:left="340"/>
      </w:pPr>
      <w:r>
        <w:rPr>
          <w:b/>
          <w:sz w:val="20"/>
        </w:rPr>
        <w:t xml:space="preserve">5. Habilitar y verificar el trabajo en altura </w:t>
      </w:r>
      <w:r>
        <w:rPr>
          <w:rFonts w:ascii="Calibri" w:hAnsi="Calibri"/>
          <w:sz w:val="20"/>
        </w:rPr>
        <w:t>· Cuando la instalación implica trabajo sobre techo, azotea o estructura elevada, se colocan y verifican los puntos de anclaje, el arnés y la línea de vida antes de que cualquier persona suba.</w:t>
      </w:r>
    </w:p>
    <w:p>
      <w:pPr>
        <w:spacing w:after="20"/>
        <w:ind w:left="680"/>
      </w:pPr>
      <w:r>
        <w:rPr>
          <w:b/>
          <w:color w:val="595959"/>
          <w:sz w:val="18"/>
        </w:rPr>
        <w:t xml:space="preserve">Responsable: </w:t>
      </w:r>
      <w:r>
        <w:rPr>
          <w:rFonts w:ascii="Calibri" w:hAnsi="Calibri"/>
          <w:color w:val="595959"/>
          <w:sz w:val="18"/>
        </w:rPr>
        <w:t>Instalador líder.</w:t>
      </w:r>
    </w:p>
    <w:p>
      <w:pPr>
        <w:spacing w:after="20"/>
        <w:ind w:left="680"/>
      </w:pPr>
      <w:r>
        <w:rPr>
          <w:b/>
          <w:color w:val="595959"/>
          <w:sz w:val="18"/>
        </w:rPr>
        <w:t xml:space="preserve">Control: </w:t>
      </w:r>
      <w:r>
        <w:rPr>
          <w:rFonts w:ascii="Calibri" w:hAnsi="Calibri"/>
          <w:color w:val="595959"/>
          <w:sz w:val="18"/>
        </w:rPr>
        <w:t>Punto de anclaje verificado antes de subir, registrado en la sección de seguridad de FOR-OPE-03.</w:t>
      </w:r>
    </w:p>
    <w:p>
      <w:pPr>
        <w:spacing w:after="20"/>
        <w:ind w:left="680"/>
      </w:pPr>
      <w:r>
        <w:rPr>
          <w:b/>
          <w:color w:val="595959"/>
          <w:sz w:val="18"/>
        </w:rPr>
        <w:t xml:space="preserve">Frontera: </w:t>
      </w:r>
      <w:r>
        <w:rPr>
          <w:rFonts w:ascii="Calibri" w:hAnsi="Calibri"/>
          <w:color w:val="595959"/>
          <w:sz w:val="18"/>
        </w:rPr>
        <w:t>La seguridad es requisito de arranque, no un paso posterior; ninguna actividad en altura inicia sin anclaje verificado.</w:t>
      </w:r>
    </w:p>
    <w:p>
      <w:pPr>
        <w:spacing w:after="60"/>
        <w:ind w:left="340"/>
      </w:pPr>
      <w:r>
        <w:rPr>
          <w:b/>
          <w:sz w:val="20"/>
        </w:rPr>
        <w:t xml:space="preserve">6. Delimitar y señalizar el área de trabajo </w:t>
      </w:r>
      <w:r>
        <w:rPr>
          <w:rFonts w:ascii="Calibri" w:hAnsi="Calibri"/>
          <w:sz w:val="20"/>
        </w:rPr>
        <w:t>· La cuadrilla delimita o señaliza el área de trabajo para proteger a personas ajenas a la obra durante el montaje y mantener el orden del sitio.</w:t>
      </w:r>
    </w:p>
    <w:p>
      <w:pPr>
        <w:spacing w:after="20"/>
        <w:ind w:left="680"/>
      </w:pPr>
      <w:r>
        <w:rPr>
          <w:b/>
          <w:color w:val="595959"/>
          <w:sz w:val="18"/>
        </w:rPr>
        <w:t xml:space="preserve">Responsable: </w:t>
      </w:r>
      <w:r>
        <w:rPr>
          <w:rFonts w:ascii="Calibri" w:hAnsi="Calibri"/>
          <w:color w:val="595959"/>
          <w:sz w:val="18"/>
        </w:rPr>
        <w:t>Cuadrilla de instalación.</w:t>
      </w:r>
    </w:p>
    <w:p>
      <w:pPr>
        <w:spacing w:after="20"/>
        <w:ind w:left="680"/>
      </w:pPr>
      <w:r>
        <w:rPr>
          <w:b/>
          <w:color w:val="595959"/>
          <w:sz w:val="18"/>
        </w:rPr>
        <w:t xml:space="preserve">Control: </w:t>
      </w:r>
      <w:r>
        <w:rPr>
          <w:rFonts w:ascii="Calibri" w:hAnsi="Calibri"/>
          <w:color w:val="595959"/>
          <w:sz w:val="18"/>
        </w:rPr>
        <w:t>Delimitación o señalización del área registrada en la sección de seguridad de FOR-OPE-03.</w:t>
      </w:r>
    </w:p>
    <w:p>
      <w:pPr>
        <w:spacing w:before="160" w:after="60"/>
      </w:pPr>
      <w:r>
        <w:rPr>
          <w:b/>
          <w:color w:val="1C242E"/>
          <w:sz w:val="21"/>
        </w:rPr>
        <w:t>Fase 3. Ejecución de la instalación</w:t>
      </w:r>
    </w:p>
    <w:p>
      <w:pPr>
        <w:spacing w:after="60"/>
        <w:ind w:left="340"/>
      </w:pPr>
      <w:r>
        <w:rPr>
          <w:rFonts w:ascii="Calibri" w:hAnsi="Calibri"/>
          <w:i/>
          <w:color w:val="595959"/>
          <w:sz w:val="19"/>
        </w:rPr>
        <w:t>La cuadrilla ejecuta el montaje conforme al diseño aprobado, dejando el inversor conectado físicamente pero sin energizar.</w:t>
      </w:r>
    </w:p>
    <w:p>
      <w:pPr>
        <w:spacing w:after="60"/>
        <w:ind w:left="340"/>
      </w:pPr>
      <w:r>
        <w:rPr>
          <w:b/>
          <w:sz w:val="20"/>
        </w:rPr>
        <w:t xml:space="preserve">7. Montar la estructura de soporte </w:t>
      </w:r>
      <w:r>
        <w:rPr>
          <w:rFonts w:ascii="Calibri" w:hAnsi="Calibri"/>
          <w:sz w:val="20"/>
        </w:rPr>
        <w:t>· La cuadrilla instala la estructura de soporte con fijación firme, nivelada y orientada según el diseño aprobado, verificando que coincida con el render antes de continuar.</w:t>
      </w:r>
    </w:p>
    <w:p>
      <w:pPr>
        <w:spacing w:after="20"/>
        <w:ind w:left="680"/>
      </w:pPr>
      <w:r>
        <w:rPr>
          <w:b/>
          <w:color w:val="595959"/>
          <w:sz w:val="18"/>
        </w:rPr>
        <w:t xml:space="preserve">Responsable: </w:t>
      </w:r>
      <w:r>
        <w:rPr>
          <w:rFonts w:ascii="Calibri" w:hAnsi="Calibri"/>
          <w:color w:val="595959"/>
          <w:sz w:val="18"/>
        </w:rPr>
        <w:t>Instalador líder y cuadrilla de instalación.</w:t>
      </w:r>
    </w:p>
    <w:p>
      <w:pPr>
        <w:spacing w:after="20"/>
        <w:ind w:left="680"/>
      </w:pPr>
      <w:r>
        <w:rPr>
          <w:b/>
          <w:color w:val="595959"/>
          <w:sz w:val="18"/>
        </w:rPr>
        <w:t xml:space="preserve">Control: </w:t>
      </w:r>
      <w:r>
        <w:rPr>
          <w:rFonts w:ascii="Calibri" w:hAnsi="Calibri"/>
          <w:color w:val="595959"/>
          <w:sz w:val="18"/>
        </w:rPr>
        <w:t>Verificación en campo contra el render de la estructura y su orientación.</w:t>
      </w:r>
    </w:p>
    <w:p>
      <w:pPr>
        <w:spacing w:after="60"/>
        <w:ind w:left="340"/>
      </w:pPr>
      <w:r>
        <w:rPr>
          <w:b/>
          <w:sz w:val="20"/>
        </w:rPr>
        <w:t xml:space="preserve">8. Colocar los paneles y tender el cableado </w:t>
      </w:r>
      <w:r>
        <w:rPr>
          <w:rFonts w:ascii="Calibri" w:hAnsi="Calibri"/>
          <w:sz w:val="20"/>
        </w:rPr>
        <w:t>· La cuadrilla revisa cada panel para descartar fractura o daño interno antes de instalarlo, coloca los paneles con sujeción completa y sin holguras, y tiende y conecta el cableado de corriente directa y alterna con el calibre correcto, ordenado y resguardado.</w:t>
      </w:r>
    </w:p>
    <w:p>
      <w:pPr>
        <w:spacing w:after="20"/>
        <w:ind w:left="680"/>
      </w:pPr>
      <w:r>
        <w:rPr>
          <w:b/>
          <w:color w:val="595959"/>
          <w:sz w:val="18"/>
        </w:rPr>
        <w:t xml:space="preserve">Responsable: </w:t>
      </w:r>
      <w:r>
        <w:rPr>
          <w:rFonts w:ascii="Calibri" w:hAnsi="Calibri"/>
          <w:color w:val="595959"/>
          <w:sz w:val="18"/>
        </w:rPr>
        <w:t>Cuadrilla de instalación.</w:t>
      </w:r>
    </w:p>
    <w:p>
      <w:pPr>
        <w:spacing w:after="20"/>
        <w:ind w:left="680"/>
      </w:pPr>
      <w:r>
        <w:rPr>
          <w:b/>
          <w:color w:val="595959"/>
          <w:sz w:val="18"/>
        </w:rPr>
        <w:t xml:space="preserve">Control: </w:t>
      </w:r>
      <w:r>
        <w:rPr>
          <w:rFonts w:ascii="Calibri" w:hAnsi="Calibri"/>
          <w:color w:val="595959"/>
          <w:sz w:val="18"/>
        </w:rPr>
        <w:t>Verificación del número y marca de paneles y del calibre del cableado contra el render; cada panel revisado antes de instalarse.</w:t>
      </w:r>
    </w:p>
    <w:p>
      <w:pPr>
        <w:spacing w:after="60"/>
        <w:ind w:left="340"/>
      </w:pPr>
      <w:r>
        <w:rPr>
          <w:b/>
          <w:sz w:val="20"/>
        </w:rPr>
        <w:t xml:space="preserve">9. Establecer la tierra física y montar el inversor </w:t>
      </w:r>
      <w:r>
        <w:rPr>
          <w:rFonts w:ascii="Calibri" w:hAnsi="Calibri"/>
          <w:sz w:val="20"/>
        </w:rPr>
        <w:t>· La cuadrilla establece la tierra física verificando su continuidad y conexión firme al sistema, y monta y conecta físicamente el inversor sin energizarlo, dejándolo listo para el encendido posterior.</w:t>
      </w:r>
    </w:p>
    <w:p>
      <w:pPr>
        <w:spacing w:after="20"/>
        <w:ind w:left="680"/>
      </w:pPr>
      <w:r>
        <w:rPr>
          <w:b/>
          <w:color w:val="595959"/>
          <w:sz w:val="18"/>
        </w:rPr>
        <w:t xml:space="preserve">Responsable: </w:t>
      </w:r>
      <w:r>
        <w:rPr>
          <w:rFonts w:ascii="Calibri" w:hAnsi="Calibri"/>
          <w:color w:val="595959"/>
          <w:sz w:val="18"/>
        </w:rPr>
        <w:t>Instalador líder y cuadrilla de instalación.</w:t>
      </w:r>
    </w:p>
    <w:p>
      <w:pPr>
        <w:spacing w:after="20"/>
        <w:ind w:left="680"/>
      </w:pPr>
      <w:r>
        <w:rPr>
          <w:b/>
          <w:color w:val="595959"/>
          <w:sz w:val="18"/>
        </w:rPr>
        <w:t xml:space="preserve">Interfaz: </w:t>
      </w:r>
      <w:r>
        <w:rPr>
          <w:rFonts w:ascii="Calibri" w:hAnsi="Calibri"/>
          <w:color w:val="595959"/>
          <w:sz w:val="18"/>
        </w:rPr>
        <w:t>La energización, la puesta en marcha y la revisión eléctrica del inversor son de Ingeniería en PRO-ING-04; Operaciones no enciende el sistema.</w:t>
      </w:r>
    </w:p>
    <w:p>
      <w:pPr>
        <w:spacing w:before="160" w:after="60"/>
      </w:pPr>
      <w:r>
        <w:rPr>
          <w:b/>
          <w:color w:val="1C242E"/>
          <w:sz w:val="21"/>
        </w:rPr>
        <w:t>Fase 4. Verificación de calidad, checklist firmado y preservación</w:t>
      </w:r>
    </w:p>
    <w:p>
      <w:pPr>
        <w:spacing w:after="60"/>
        <w:ind w:left="340"/>
      </w:pPr>
      <w:r>
        <w:rPr>
          <w:rFonts w:ascii="Calibri" w:hAnsi="Calibri"/>
          <w:i/>
          <w:color w:val="595959"/>
          <w:sz w:val="19"/>
        </w:rPr>
        <w:t>Terminado el montaje, el instalador líder verifica la calidad contra criterios medibles, firma el checklist en sitio y la cuadrilla preserva la obra.</w:t>
      </w:r>
    </w:p>
    <w:p>
      <w:pPr>
        <w:spacing w:after="60"/>
        <w:ind w:left="340"/>
      </w:pPr>
      <w:r>
        <w:rPr>
          <w:b/>
          <w:sz w:val="20"/>
        </w:rPr>
        <w:t xml:space="preserve">10. Verificar y firmar el Checklist de Calidad (FOR-OPE-03) </w:t>
      </w:r>
      <w:r>
        <w:rPr>
          <w:rFonts w:ascii="Calibri" w:hAnsi="Calibri"/>
          <w:sz w:val="20"/>
        </w:rPr>
        <w:t>· El instalador líder recorre la instalación y llena el Checklist de Calidad de Instalación verificando los criterios medibles de estructura, fijación de paneles, conexiones de cableado, continuidad de tierra física y montaje del inversor, y lo firma en sitio junto con quien recibe por el cliente.</w:t>
      </w:r>
    </w:p>
    <w:p>
      <w:pPr>
        <w:spacing w:after="20"/>
        <w:ind w:left="680"/>
      </w:pPr>
      <w:r>
        <w:rPr>
          <w:b/>
          <w:color w:val="595959"/>
          <w:sz w:val="18"/>
        </w:rPr>
        <w:t xml:space="preserve">Responsable: </w:t>
      </w:r>
      <w:r>
        <w:rPr>
          <w:rFonts w:ascii="Calibri" w:hAnsi="Calibri"/>
          <w:color w:val="595959"/>
          <w:sz w:val="18"/>
        </w:rPr>
        <w:t>Instalador líder.</w:t>
      </w:r>
    </w:p>
    <w:p>
      <w:pPr>
        <w:spacing w:after="20"/>
        <w:ind w:left="680"/>
      </w:pPr>
      <w:r>
        <w:rPr>
          <w:b/>
          <w:color w:val="595959"/>
          <w:sz w:val="18"/>
        </w:rPr>
        <w:t xml:space="preserve">Registro: </w:t>
      </w:r>
      <w:r>
        <w:rPr>
          <w:rFonts w:ascii="Calibri" w:hAnsi="Calibri"/>
          <w:color w:val="595959"/>
          <w:sz w:val="18"/>
        </w:rPr>
        <w:t>FOR-OPE-03 Checklist de Calidad de Instalación firmado en sitio.</w:t>
      </w:r>
    </w:p>
    <w:p>
      <w:pPr>
        <w:spacing w:after="20"/>
        <w:ind w:left="680"/>
      </w:pPr>
      <w:r>
        <w:rPr>
          <w:b/>
          <w:color w:val="595959"/>
          <w:sz w:val="18"/>
        </w:rPr>
        <w:t xml:space="preserve">Frontera: </w:t>
      </w:r>
      <w:r>
        <w:rPr>
          <w:rFonts w:ascii="Calibri" w:hAnsi="Calibri"/>
          <w:color w:val="595959"/>
          <w:sz w:val="18"/>
        </w:rPr>
        <w:t>Los defectos o inconformidades detectados tras la entrega se canalizan a Postventa (PRO-PVM); Operaciones no ejecuta retrabajos en esta fase.</w:t>
      </w:r>
    </w:p>
    <w:p>
      <w:pPr>
        <w:spacing w:after="60"/>
        <w:ind w:left="340"/>
      </w:pPr>
      <w:r>
        <w:rPr>
          <w:b/>
          <w:sz w:val="20"/>
        </w:rPr>
        <w:t xml:space="preserve">11. Preservar el material y la obra </w:t>
      </w:r>
      <w:r>
        <w:rPr>
          <w:rFonts w:ascii="Calibri" w:hAnsi="Calibri"/>
          <w:sz w:val="20"/>
        </w:rPr>
        <w:t>· La cuadrilla protege y resguarda el material pendiente de conexión, ordena y protege el cableado y deja el sitio limpio y preservado hasta el encendido.</w:t>
      </w:r>
    </w:p>
    <w:p>
      <w:pPr>
        <w:spacing w:after="20"/>
        <w:ind w:left="680"/>
      </w:pPr>
      <w:r>
        <w:rPr>
          <w:b/>
          <w:color w:val="595959"/>
          <w:sz w:val="18"/>
        </w:rPr>
        <w:t xml:space="preserve">Responsable: </w:t>
      </w:r>
      <w:r>
        <w:rPr>
          <w:rFonts w:ascii="Calibri" w:hAnsi="Calibri"/>
          <w:color w:val="595959"/>
          <w:sz w:val="18"/>
        </w:rPr>
        <w:t>Cuadrilla de instalación.</w:t>
      </w:r>
    </w:p>
    <w:p>
      <w:pPr>
        <w:spacing w:after="20"/>
        <w:ind w:left="680"/>
      </w:pPr>
      <w:r>
        <w:rPr>
          <w:b/>
          <w:color w:val="595959"/>
          <w:sz w:val="18"/>
        </w:rPr>
        <w:t xml:space="preserve">Control: </w:t>
      </w:r>
      <w:r>
        <w:rPr>
          <w:rFonts w:ascii="Calibri" w:hAnsi="Calibri"/>
          <w:color w:val="595959"/>
          <w:sz w:val="18"/>
        </w:rPr>
        <w:t>Punto de preservación de obra verificado en FOR-OPE-03: material resguardado, cableado protegido y sitio ordenado.</w:t>
      </w:r>
    </w:p>
    <w:p>
      <w:pPr>
        <w:spacing w:after="60"/>
        <w:ind w:left="340"/>
      </w:pPr>
      <w:r>
        <w:rPr>
          <w:b/>
          <w:sz w:val="20"/>
        </w:rPr>
        <w:t xml:space="preserve">12. Levantar el registro fotográfico del estado final </w:t>
      </w:r>
      <w:r>
        <w:rPr>
          <w:rFonts w:ascii="Calibri" w:hAnsi="Calibri"/>
          <w:sz w:val="20"/>
        </w:rPr>
        <w:t>· La cuadrilla levanta el registro fotográfico del estado final de estructura, paneles, cableado, tierra física e inversor como evidencia de la ejecución terminada.</w:t>
      </w:r>
    </w:p>
    <w:p>
      <w:pPr>
        <w:spacing w:after="20"/>
        <w:ind w:left="680"/>
      </w:pPr>
      <w:r>
        <w:rPr>
          <w:b/>
          <w:color w:val="595959"/>
          <w:sz w:val="18"/>
        </w:rPr>
        <w:t xml:space="preserve">Responsable: </w:t>
      </w:r>
      <w:r>
        <w:rPr>
          <w:rFonts w:ascii="Calibri" w:hAnsi="Calibri"/>
          <w:color w:val="595959"/>
          <w:sz w:val="18"/>
        </w:rPr>
        <w:t>Cuadrilla de instalación.</w:t>
      </w:r>
    </w:p>
    <w:p>
      <w:pPr>
        <w:spacing w:after="20"/>
        <w:ind w:left="680"/>
      </w:pPr>
      <w:r>
        <w:rPr>
          <w:b/>
          <w:color w:val="595959"/>
          <w:sz w:val="18"/>
        </w:rPr>
        <w:t xml:space="preserve">Registro: </w:t>
      </w:r>
      <w:r>
        <w:rPr>
          <w:rFonts w:ascii="Calibri" w:hAnsi="Calibri"/>
          <w:color w:val="595959"/>
          <w:sz w:val="18"/>
        </w:rPr>
        <w:t>Registro fotográfico del estado final de la instalación.</w:t>
      </w:r>
    </w:p>
    <w:p>
      <w:pPr>
        <w:spacing w:before="160" w:after="60"/>
      </w:pPr>
      <w:r>
        <w:rPr>
          <w:b/>
          <w:color w:val="1C242E"/>
          <w:sz w:val="21"/>
        </w:rPr>
        <w:t>Fase 5. Cierre y entrega a Ingeniería para el encendido</w:t>
      </w:r>
    </w:p>
    <w:p>
      <w:pPr>
        <w:spacing w:after="60"/>
        <w:ind w:left="340"/>
      </w:pPr>
      <w:r>
        <w:rPr>
          <w:rFonts w:ascii="Calibri" w:hAnsi="Calibri"/>
          <w:i/>
          <w:color w:val="595959"/>
          <w:sz w:val="19"/>
        </w:rPr>
        <w:t>Con el checklist firmado y la evidencia levantada, Operaciones entrega la instalación terminada a Ingeniería y deja la evidencia disponible para las áreas adyacentes.</w:t>
      </w:r>
    </w:p>
    <w:p>
      <w:pPr>
        <w:spacing w:after="60"/>
        <w:ind w:left="340"/>
      </w:pPr>
      <w:r>
        <w:rPr>
          <w:b/>
          <w:sz w:val="20"/>
        </w:rPr>
        <w:t xml:space="preserve">13. Entregar la instalación terminada a Ingeniería </w:t>
      </w:r>
      <w:r>
        <w:rPr>
          <w:rFonts w:ascii="Calibri" w:hAnsi="Calibri"/>
          <w:sz w:val="20"/>
        </w:rPr>
        <w:t>· Operaciones entrega la instalación terminada, con su checklist firmado y las observaciones para Ingeniería, para que ejecute el encendido y la revisión eléctrica bajo PRO-ING-04.</w:t>
      </w:r>
    </w:p>
    <w:p>
      <w:pPr>
        <w:spacing w:after="20"/>
        <w:ind w:left="680"/>
      </w:pPr>
      <w:r>
        <w:rPr>
          <w:b/>
          <w:color w:val="595959"/>
          <w:sz w:val="18"/>
        </w:rPr>
        <w:t xml:space="preserve">Responsable: </w:t>
      </w:r>
      <w:r>
        <w:rPr>
          <w:rFonts w:ascii="Calibri" w:hAnsi="Calibri"/>
          <w:color w:val="595959"/>
          <w:sz w:val="18"/>
        </w:rPr>
        <w:t>Instalador líder y Coordinador de Operaciones.</w:t>
      </w:r>
    </w:p>
    <w:p>
      <w:pPr>
        <w:spacing w:after="20"/>
        <w:ind w:left="680"/>
      </w:pPr>
      <w:r>
        <w:rPr>
          <w:b/>
          <w:color w:val="595959"/>
          <w:sz w:val="18"/>
        </w:rPr>
        <w:t xml:space="preserve">Interfaz: </w:t>
      </w:r>
      <w:r>
        <w:rPr>
          <w:rFonts w:ascii="Calibri" w:hAnsi="Calibri"/>
          <w:color w:val="595959"/>
          <w:sz w:val="18"/>
        </w:rPr>
        <w:t>Encendido y revisión eléctrica a Ingeniería (PRO-ING-04); Ingeniería regresa a Operaciones cualquier observación de montaje detectada antes de energizar.</w:t>
      </w:r>
    </w:p>
    <w:p>
      <w:pPr>
        <w:spacing w:after="60"/>
        <w:ind w:left="340"/>
      </w:pPr>
      <w:r>
        <w:rPr>
          <w:b/>
          <w:sz w:val="20"/>
        </w:rPr>
        <w:t xml:space="preserve">14. Resguardar la evidencia y canalizar lo que no es de Operaciones </w:t>
      </w:r>
      <w:r>
        <w:rPr>
          <w:rFonts w:ascii="Calibri" w:hAnsi="Calibri"/>
          <w:sz w:val="20"/>
        </w:rPr>
        <w:t>· El cierre referencia los formatos de campo existentes, como el Acta de Conformidad y la Encuesta de Encendido, sin reinventarlos, y deja la evidencia disponible para que Comercial y Administración gestionen la liberación de cobranza y para que Postventa atienda cualquier retrabajo.</w:t>
      </w:r>
    </w:p>
    <w:p>
      <w:pPr>
        <w:spacing w:after="20"/>
        <w:ind w:left="680"/>
      </w:pPr>
      <w:r>
        <w:rPr>
          <w:b/>
          <w:color w:val="595959"/>
          <w:sz w:val="18"/>
        </w:rPr>
        <w:t xml:space="preserve">Responsable: </w:t>
      </w:r>
      <w:r>
        <w:rPr>
          <w:rFonts w:ascii="Calibri" w:hAnsi="Calibri"/>
          <w:color w:val="595959"/>
          <w:sz w:val="18"/>
        </w:rPr>
        <w:t>Coordinador de Operaciones.</w:t>
      </w:r>
    </w:p>
    <w:p>
      <w:pPr>
        <w:spacing w:after="20"/>
        <w:ind w:left="680"/>
      </w:pPr>
      <w:r>
        <w:rPr>
          <w:b/>
          <w:color w:val="595959"/>
          <w:sz w:val="18"/>
        </w:rPr>
        <w:t xml:space="preserve">Registro: </w:t>
      </w:r>
      <w:r>
        <w:rPr>
          <w:rFonts w:ascii="Calibri" w:hAnsi="Calibri"/>
          <w:color w:val="595959"/>
          <w:sz w:val="18"/>
        </w:rPr>
        <w:t>Checklist FOR-OPE-03 firmado y evidencia fotográfica. [Por validar con SolarPro: consistencia y repositorio de evidencias, uso de Trello].</w:t>
      </w:r>
    </w:p>
    <w:p>
      <w:pPr>
        <w:spacing w:after="20"/>
        <w:ind w:left="680"/>
      </w:pPr>
      <w:r>
        <w:rPr>
          <w:b/>
          <w:color w:val="595959"/>
          <w:sz w:val="18"/>
        </w:rPr>
        <w:t xml:space="preserve">Interfaz: </w:t>
      </w:r>
      <w:r>
        <w:rPr>
          <w:rFonts w:ascii="Calibri" w:hAnsi="Calibri"/>
          <w:color w:val="595959"/>
          <w:sz w:val="18"/>
        </w:rPr>
        <w:t>Liberación de cobranza a Comercial y Administración (PRO-VEN-05); retrabajos a Postventa (PRO-PVM).</w:t>
      </w:r>
    </w:p>
    <w:p>
      <w:pPr>
        <w:keepNext/>
        <w:spacing w:before="240" w:after="80"/>
        <w:pBdr>
          <w:bottom w:val="single" w:sz="8" w:color="F0E528"/>
        </w:pBdr>
      </w:pPr>
      <w:r>
        <w:rPr>
          <w:rFonts w:ascii="Georgia" w:hAnsi="Georgia"/>
          <w:b/>
          <w:color w:val="0056B4"/>
          <w:sz w:val="22"/>
        </w:rPr>
        <w:t>9. REGISTROS Y FORMATOS ASOCIADOS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2856"/>
            <w:shd w:val="clear" w:fill="0056B4"/>
          </w:tcPr>
          <w:p>
            <w:pPr>
              <w:jc w:val="center"/>
            </w:pPr>
            <w:r/>
            <w:r>
              <w:rPr>
                <w:rFonts w:ascii="Calibri" w:hAnsi="Calibri"/>
                <w:b/>
                <w:color w:val="FFFFFF"/>
                <w:sz w:val="17"/>
              </w:rPr>
              <w:t>Código</w:t>
            </w:r>
          </w:p>
        </w:tc>
        <w:tc>
          <w:tcPr>
            <w:tcW w:type="dxa" w:w="7344"/>
            <w:shd w:val="clear" w:fill="0056B4"/>
          </w:tcPr>
          <w:p>
            <w:pPr>
              <w:jc w:val="center"/>
            </w:pPr>
            <w:r/>
            <w:r>
              <w:rPr>
                <w:rFonts w:ascii="Calibri" w:hAnsi="Calibri"/>
                <w:b/>
                <w:color w:val="FFFFFF"/>
                <w:sz w:val="17"/>
              </w:rPr>
              <w:t>Formato</w:t>
            </w:r>
          </w:p>
        </w:tc>
      </w:tr>
      <w:tr>
        <w:tc>
          <w:tcPr>
            <w:tcW w:type="dxa" w:w="2856"/>
          </w:tcPr>
          <w:p>
            <w:r/>
            <w:r>
              <w:rPr>
                <w:rFonts w:ascii="Calibri" w:hAnsi="Calibri"/>
                <w:b w:val="0"/>
                <w:sz w:val="19"/>
              </w:rPr>
              <w:t>FOR-OPE-03</w:t>
            </w:r>
          </w:p>
        </w:tc>
        <w:tc>
          <w:tcPr>
            <w:tcW w:type="dxa" w:w="7344"/>
          </w:tcPr>
          <w:p>
            <w:r/>
            <w:r>
              <w:rPr>
                <w:rFonts w:ascii="Calibri" w:hAnsi="Calibri"/>
                <w:b w:val="0"/>
                <w:sz w:val="19"/>
              </w:rPr>
              <w:t>Checklist de Calidad de Instalación</w:t>
            </w:r>
          </w:p>
        </w:tc>
      </w:tr>
      <w:tr>
        <w:tc>
          <w:tcPr>
            <w:tcW w:type="dxa" w:w="2856"/>
          </w:tcPr>
          <w:p>
            <w:r/>
            <w:r>
              <w:rPr>
                <w:rFonts w:ascii="Calibri" w:hAnsi="Calibri"/>
                <w:b w:val="0"/>
                <w:sz w:val="19"/>
              </w:rPr>
              <w:t>Formato de requerimiento de material</w:t>
            </w:r>
          </w:p>
        </w:tc>
        <w:tc>
          <w:tcPr>
            <w:tcW w:type="dxa" w:w="7344"/>
          </w:tcPr>
          <w:p>
            <w:r/>
            <w:r>
              <w:rPr>
                <w:rFonts w:ascii="Calibri" w:hAnsi="Calibri"/>
                <w:b w:val="0"/>
                <w:sz w:val="19"/>
              </w:rPr>
              <w:t>Solicitud de surtido a Almacén elaborada a partir del render</w:t>
            </w:r>
          </w:p>
        </w:tc>
      </w:tr>
      <w:tr>
        <w:tc>
          <w:tcPr>
            <w:tcW w:type="dxa" w:w="2856"/>
          </w:tcPr>
          <w:p>
            <w:r/>
            <w:r>
              <w:rPr>
                <w:rFonts w:ascii="Calibri" w:hAnsi="Calibri"/>
                <w:b w:val="0"/>
                <w:sz w:val="19"/>
              </w:rPr>
              <w:t>Registro fotográfico de instalación</w:t>
            </w:r>
          </w:p>
        </w:tc>
        <w:tc>
          <w:tcPr>
            <w:tcW w:type="dxa" w:w="7344"/>
          </w:tcPr>
          <w:p>
            <w:r/>
            <w:r>
              <w:rPr>
                <w:rFonts w:ascii="Calibri" w:hAnsi="Calibri"/>
                <w:b w:val="0"/>
                <w:sz w:val="19"/>
              </w:rPr>
              <w:t>Evidencia del estado final de estructura, paneles, cableado, tierra física e inversor</w:t>
            </w:r>
          </w:p>
        </w:tc>
      </w:tr>
      <w:tr>
        <w:tc>
          <w:tcPr>
            <w:tcW w:type="dxa" w:w="2856"/>
          </w:tcPr>
          <w:p>
            <w:r/>
            <w:r>
              <w:rPr>
                <w:rFonts w:ascii="Calibri" w:hAnsi="Calibri"/>
                <w:b w:val="0"/>
                <w:sz w:val="19"/>
              </w:rPr>
              <w:t>Acta de Conformidad</w:t>
            </w:r>
          </w:p>
        </w:tc>
        <w:tc>
          <w:tcPr>
            <w:tcW w:type="dxa" w:w="7344"/>
          </w:tcPr>
          <w:p>
            <w:r/>
            <w:r>
              <w:rPr>
                <w:rFonts w:ascii="Calibri" w:hAnsi="Calibri"/>
                <w:b w:val="0"/>
                <w:sz w:val="19"/>
              </w:rPr>
              <w:t>Formato de campo existente referenciado al cierre de la instalación</w:t>
            </w:r>
          </w:p>
        </w:tc>
      </w:tr>
    </w:tbl>
    <w:p>
      <w:pPr>
        <w:keepNext/>
        <w:spacing w:before="240" w:after="80"/>
        <w:pBdr>
          <w:bottom w:val="single" w:sz="8" w:color="F0E528"/>
        </w:pBdr>
      </w:pPr>
      <w:r>
        <w:rPr>
          <w:rFonts w:ascii="Georgia" w:hAnsi="Georgia"/>
          <w:b/>
          <w:color w:val="0056B4"/>
          <w:sz w:val="22"/>
        </w:rPr>
        <w:t>10. CONTROL DE CAMBIOS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550"/>
        <w:gridCol w:w="2550"/>
        <w:gridCol w:w="2550"/>
        <w:gridCol w:w="2550"/>
      </w:tblGrid>
      <w:tr>
        <w:tc>
          <w:tcPr>
            <w:tcW w:type="dxa" w:w="1224"/>
            <w:shd w:val="clear" w:fill="0056B4"/>
          </w:tcPr>
          <w:p>
            <w:pPr>
              <w:jc w:val="center"/>
            </w:pPr>
            <w:r/>
            <w:r>
              <w:rPr>
                <w:rFonts w:ascii="Calibri" w:hAnsi="Calibri"/>
                <w:b/>
                <w:color w:val="FFFFFF"/>
                <w:sz w:val="17"/>
              </w:rPr>
              <w:t>Versión</w:t>
            </w:r>
          </w:p>
        </w:tc>
        <w:tc>
          <w:tcPr>
            <w:tcW w:type="dxa" w:w="1632"/>
            <w:shd w:val="clear" w:fill="0056B4"/>
          </w:tcPr>
          <w:p>
            <w:pPr>
              <w:jc w:val="center"/>
            </w:pPr>
            <w:r/>
            <w:r>
              <w:rPr>
                <w:rFonts w:ascii="Calibri" w:hAnsi="Calibri"/>
                <w:b/>
                <w:color w:val="FFFFFF"/>
                <w:sz w:val="17"/>
              </w:rPr>
              <w:t>Fecha</w:t>
            </w:r>
          </w:p>
        </w:tc>
        <w:tc>
          <w:tcPr>
            <w:tcW w:type="dxa" w:w="5712"/>
            <w:shd w:val="clear" w:fill="0056B4"/>
          </w:tcPr>
          <w:p>
            <w:pPr>
              <w:jc w:val="center"/>
            </w:pPr>
            <w:r/>
            <w:r>
              <w:rPr>
                <w:rFonts w:ascii="Calibri" w:hAnsi="Calibri"/>
                <w:b/>
                <w:color w:val="FFFFFF"/>
                <w:sz w:val="17"/>
              </w:rPr>
              <w:t>Descripción del cambio</w:t>
            </w:r>
          </w:p>
        </w:tc>
        <w:tc>
          <w:tcPr>
            <w:tcW w:type="dxa" w:w="1632"/>
            <w:shd w:val="clear" w:fill="0056B4"/>
          </w:tcPr>
          <w:p>
            <w:pPr>
              <w:jc w:val="center"/>
            </w:pPr>
            <w:r/>
            <w:r>
              <w:rPr>
                <w:rFonts w:ascii="Calibri" w:hAnsi="Calibri"/>
                <w:b/>
                <w:color w:val="FFFFFF"/>
                <w:sz w:val="17"/>
              </w:rPr>
              <w:t>Elaboró</w:t>
            </w:r>
          </w:p>
        </w:tc>
      </w:tr>
      <w:tr>
        <w:tc>
          <w:tcPr>
            <w:tcW w:type="dxa" w:w="1224"/>
          </w:tcPr>
          <w:p>
            <w:r/>
            <w:r>
              <w:rPr>
                <w:rFonts w:ascii="Calibri" w:hAnsi="Calibri"/>
                <w:b w:val="0"/>
                <w:sz w:val="19"/>
              </w:rPr>
              <w:t>1.0</w:t>
            </w:r>
          </w:p>
        </w:tc>
        <w:tc>
          <w:tcPr>
            <w:tcW w:type="dxa" w:w="1632"/>
          </w:tcPr>
          <w:p>
            <w:r/>
            <w:r>
              <w:rPr>
                <w:rFonts w:ascii="Calibri" w:hAnsi="Calibri"/>
                <w:b w:val="0"/>
                <w:sz w:val="19"/>
              </w:rPr>
              <w:t>Septiembre 2026</w:t>
            </w:r>
          </w:p>
        </w:tc>
        <w:tc>
          <w:tcPr>
            <w:tcW w:type="dxa" w:w="5712"/>
          </w:tcPr>
          <w:p>
            <w:r/>
            <w:r>
              <w:rPr>
                <w:rFonts w:ascii="Calibri" w:hAnsi="Calibri"/>
                <w:b w:val="0"/>
                <w:sz w:val="19"/>
              </w:rPr>
              <w:t>Emisión inicial del procedimiento de ejecución de instalación, seguridad y calidad en sitio, con EPP y trabajo en altura formalizados como controles obligatorios y checklist de calidad firmado en sitio.</w:t>
            </w:r>
          </w:p>
        </w:tc>
        <w:tc>
          <w:tcPr>
            <w:tcW w:type="dxa" w:w="1632"/>
          </w:tcPr>
          <w:p>
            <w:r/>
            <w:r>
              <w:rPr>
                <w:rFonts w:ascii="Calibri" w:hAnsi="Calibri"/>
                <w:b w:val="0"/>
                <w:sz w:val="19"/>
              </w:rPr>
              <w:t>DETA Consultores</w:t>
            </w:r>
          </w:p>
        </w:tc>
      </w:tr>
    </w:tbl>
    <w:p>
      <w:pPr>
        <w:keepNext/>
        <w:spacing w:before="240" w:after="80"/>
        <w:pBdr>
          <w:bottom w:val="single" w:sz="8" w:color="F0E528"/>
        </w:pBdr>
      </w:pPr>
      <w:r>
        <w:rPr>
          <w:rFonts w:ascii="Georgia" w:hAnsi="Georgia"/>
          <w:b/>
          <w:color w:val="0056B4"/>
          <w:sz w:val="22"/>
        </w:rPr>
        <w:t>11. CONTROL DE FIRMAS</w:t>
      </w:r>
    </w:p>
    <w:p>
      <w:pPr>
        <w:spacing w:after="120"/>
      </w:pPr>
    </w:p>
    <w:p>
      <w:pPr>
        <w:keepNext/>
        <w:spacing w:after="320"/>
      </w:pPr>
    </w:p>
    <w:tbl>
      <w:tblPr>
        <w:tblW w:type="auto" w:w="0"/>
        <w:tblLook w:firstColumn="1" w:firstRow="1" w:lastColumn="0" w:lastRow="0" w:noHBand="0" w:noVBand="1" w:val="04A0"/>
      </w:tblPr>
      <w:tblGrid>
        <w:gridCol w:w="3400"/>
        <w:gridCol w:w="3400"/>
        <w:gridCol w:w="3400"/>
      </w:tblGrid>
      <w:tr>
        <w:tc>
          <w:tcPr>
            <w:tcW w:type="dxa" w:w="3400"/>
          </w:tcPr>
          <w:p>
            <w:pPr>
              <w:jc w:val="center"/>
            </w:pPr>
            <w:r/>
            <w:r>
              <w:rPr>
                <w:sz w:val="20"/>
              </w:rPr>
              <w:t>__________________________</w:t>
            </w:r>
          </w:p>
        </w:tc>
        <w:tc>
          <w:tcPr>
            <w:tcW w:type="dxa" w:w="3400"/>
          </w:tcPr>
          <w:p>
            <w:pPr>
              <w:jc w:val="center"/>
            </w:pPr>
            <w:r/>
            <w:r>
              <w:rPr>
                <w:sz w:val="20"/>
              </w:rPr>
              <w:t>__________________________</w:t>
            </w:r>
          </w:p>
        </w:tc>
        <w:tc>
          <w:tcPr>
            <w:tcW w:type="dxa" w:w="3400"/>
          </w:tcPr>
          <w:p>
            <w:pPr>
              <w:jc w:val="center"/>
            </w:pPr>
            <w:r/>
            <w:r>
              <w:rPr>
                <w:sz w:val="20"/>
              </w:rPr>
              <w:t>__________________________</w:t>
            </w:r>
          </w:p>
        </w:tc>
      </w:tr>
      <w:tr>
        <w:tc>
          <w:tcPr>
            <w:tcW w:type="dxa" w:w="3400"/>
          </w:tcPr>
          <w:p>
            <w:pPr>
              <w:jc w:val="center"/>
            </w:pPr>
            <w:r/>
            <w:r>
              <w:rPr>
                <w:rFonts w:ascii="Calibri" w:hAnsi="Calibri"/>
                <w:b w:val="0"/>
                <w:color w:val="595959"/>
                <w:sz w:val="17"/>
              </w:rPr>
              <w:t>Elaboró</w:t>
              <w:br/>
              <w:t>DETA Consultores</w:t>
            </w:r>
          </w:p>
        </w:tc>
        <w:tc>
          <w:tcPr>
            <w:tcW w:type="dxa" w:w="3400"/>
          </w:tcPr>
          <w:p>
            <w:pPr>
              <w:jc w:val="center"/>
            </w:pPr>
            <w:r/>
            <w:r>
              <w:rPr>
                <w:rFonts w:ascii="Calibri" w:hAnsi="Calibri"/>
                <w:b w:val="0"/>
                <w:color w:val="595959"/>
                <w:sz w:val="17"/>
              </w:rPr>
              <w:t>Revisó</w:t>
              <w:br/>
              <w:t>Operaciones</w:t>
            </w:r>
          </w:p>
        </w:tc>
        <w:tc>
          <w:tcPr>
            <w:tcW w:type="dxa" w:w="3400"/>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Procedimiento · PRO-OPE-03 V1.0</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