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drawing>
          <wp:inline xmlns:a="http://schemas.openxmlformats.org/drawingml/2006/main" xmlns:pic="http://schemas.openxmlformats.org/drawingml/2006/picture">
            <wp:extent cx="2340000" cy="76885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es-solares-chihuahua-financiamiento-cotizacion-credito-energia-solar-cibanco-solarpro-sustainable-energy-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768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0"/>
        <w:jc w:val="center"/>
      </w:pPr>
      <w:r>
        <w:rPr>
          <w:rFonts w:ascii="Calibri" w:hAnsi="Calibri"/>
          <w:b/>
          <w:color w:val="595959"/>
          <w:sz w:val="22"/>
        </w:rPr>
        <w:t>SISTEMA DE GESTIÓN DE CALIDAD ISO 9001:2015</w:t>
      </w:r>
    </w:p>
    <w:p>
      <w:pPr>
        <w:spacing w:before="120" w:after="40"/>
        <w:jc w:val="center"/>
      </w:pPr>
      <w:r>
        <w:rPr>
          <w:rFonts w:ascii="Georgia" w:hAnsi="Georgia"/>
          <w:b/>
          <w:color w:val="0056B4"/>
          <w:sz w:val="60"/>
        </w:rPr>
        <w:t>Ejecutivo de Cuentas Estratégicas</w:t>
      </w:r>
    </w:p>
    <w:p>
      <w:pPr>
        <w:jc w:val="center"/>
      </w:pPr>
      <w:r>
        <w:rPr>
          <w:color w:val="F0E528"/>
          <w:sz w:val="24"/>
        </w:rPr>
        <w:t>________</w:t>
      </w:r>
    </w:p>
    <w:p>
      <w:pPr>
        <w:jc w:val="center"/>
      </w:pPr>
      <w:r>
        <w:rPr>
          <w:rFonts w:ascii="Georgia" w:hAnsi="Georgia"/>
          <w:i/>
          <w:color w:val="595959"/>
          <w:sz w:val="26"/>
        </w:rPr>
        <w:t>Descripción y perfil de puesto</w:t>
      </w:r>
    </w:p>
    <w:p>
      <w:pPr>
        <w:spacing w:before="600"/>
        <w:jc w:val="center"/>
      </w:pPr>
      <w:r>
        <w:rPr>
          <w:b/>
          <w:color w:val="1C242E"/>
          <w:sz w:val="22"/>
        </w:rPr>
        <w:t>Soluciones Energéticas JEA, S.A. de C.V.</w:t>
      </w:r>
    </w:p>
    <w:p>
      <w:pPr>
        <w:jc w:val="center"/>
      </w:pPr>
      <w:r>
        <w:rPr>
          <w:color w:val="595959"/>
          <w:sz w:val="20"/>
        </w:rPr>
        <w:t>PER-KAM  ·  Versión 1  ·  8 de septiembre de 2026</w:t>
      </w:r>
    </w:p>
    <w:p>
      <w:pPr>
        <w:spacing w:before="120"/>
        <w:jc w:val="center"/>
      </w:pPr>
      <w:r>
        <w:rPr>
          <w:color w:val="595959"/>
          <w:sz w:val="18"/>
        </w:rPr>
        <w:t>Elaboró DETA Consultores</w:t>
      </w:r>
    </w:p>
    <w:p>
      <w:pPr>
        <w:jc w:val="center"/>
      </w:pPr>
      <w:r>
        <w:rPr>
          <w:i/>
          <w:color w:val="595959"/>
          <w:sz w:val="18"/>
        </w:rPr>
        <w:t>Borrador para validación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Código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PER-KAM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Versión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1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Estado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Borrador para validación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emisión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8 de septiembre de 2026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Fecha de revisión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Custodio del documento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Administrativa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Elabora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DETA Consultores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Revisa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Gerencia Comercial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Aprueba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Dirección General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Clasificación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Confidencial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Razón social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Soluciones Energéticas JEA, S.A. de C.V.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RFC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SEJ151105UV7</w:t>
            </w:r>
          </w:p>
        </w:tc>
      </w:tr>
      <w:tr>
        <w:trPr>
          <w:cantSplit/>
        </w:trPr>
        <w:tc>
          <w:tcPr>
            <w:tcW w:type="dxa" w:w="3191"/>
            <w:shd w:val="clear" w:fill="F2F2F2"/>
          </w:tcPr>
          <w:p>
            <w:r/>
            <w:r>
              <w:rPr>
                <w:rFonts w:ascii="Calibri" w:hAnsi="Calibri"/>
                <w:b/>
                <w:sz w:val="18"/>
              </w:rPr>
              <w:t>Sitios cubiertos</w:t>
            </w:r>
          </w:p>
        </w:tc>
        <w:tc>
          <w:tcPr>
            <w:tcW w:type="dxa" w:w="6781"/>
          </w:tcPr>
          <w:p>
            <w:r/>
            <w:r>
              <w:rPr>
                <w:rFonts w:ascii="Calibri" w:hAnsi="Calibri"/>
                <w:b w:val="0"/>
                <w:sz w:val="18"/>
              </w:rPr>
              <w:t>SolarPro Chihuahua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HISTORIAL DE REVISIONES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rPr>
          <w:cantSplit/>
        </w:trPr>
        <w:tc>
          <w:tcPr>
            <w:tcW w:type="dxa" w:w="11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Versión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Fecha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 del cambio</w:t>
            </w:r>
          </w:p>
        </w:tc>
        <w:tc>
          <w:tcPr>
            <w:tcW w:type="dxa" w:w="1596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Elaboró</w:t>
            </w:r>
          </w:p>
        </w:tc>
      </w:tr>
      <w:tr>
        <w:trPr>
          <w:cantSplit/>
        </w:trPr>
        <w:tc>
          <w:tcPr>
            <w:tcW w:type="dxa" w:w="1197"/>
          </w:tcPr>
          <w:p>
            <w:r/>
            <w:r>
              <w:rPr>
                <w:rFonts w:ascii="Calibri" w:hAnsi="Calibri"/>
                <w:b w:val="0"/>
                <w:sz w:val="19"/>
              </w:rPr>
              <w:t>1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8 de septiembre de 2026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Emisión inicial. Conversión del perfil editorial a documento controlado ISO; se agregan responsabilidades del SGC e indicadores del puesto.</w:t>
            </w:r>
          </w:p>
        </w:tc>
        <w:tc>
          <w:tcPr>
            <w:tcW w:type="dxa" w:w="1596"/>
          </w:tcPr>
          <w:p>
            <w:r/>
            <w:r>
              <w:rPr>
                <w:rFonts w:ascii="Calibri" w:hAnsi="Calibri"/>
                <w:b w:val="0"/>
                <w:sz w:val="19"/>
              </w:rPr>
              <w:t>DETA Consultores</w:t>
            </w:r>
          </w:p>
        </w:tc>
      </w:tr>
    </w:tbl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CONTENIDO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1. Objetivo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2. Áreas de efectividad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3. Responsabilidades del Sistema de Gestión de Calidad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4. Competencias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5. Requisitos y fronteras del puesto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6. Indicadores del puesto (KPIs)</w:t>
      </w:r>
    </w:p>
    <w:p>
      <w:pPr>
        <w:spacing w:after="40"/>
      </w:pPr>
      <w:r>
        <w:rPr>
          <w:rFonts w:ascii="Calibri" w:hAnsi="Calibri"/>
          <w:color w:val="1C242E"/>
          <w:sz w:val="20"/>
        </w:rPr>
        <w:t>7. Relaciones y línea de reporte</w:t>
      </w:r>
    </w:p>
    <w:p>
      <w:r>
        <w:br w:type="page"/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1. Objetivo del puesto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Propósito central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Desarrollar y gestionar la cartera de clientes clave y proyectos de alto valor mediante prospección especializada, relaciones duraderas y la coordinación comercial de soluciones complejas, para hacer crecer la facturación y la retención de las cuentas estratégicas de SolarPro.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2. Áreas de efectividad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El puesto se evalúa por su desempeño en cinco áreas de efectividad. Los pesos provienen del perfil vigente y suman 100 por ciento.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3324"/>
        <w:gridCol w:w="3324"/>
        <w:gridCol w:w="3324"/>
      </w:tblGrid>
      <w:tr>
        <w:trPr>
          <w:cantSplit/>
        </w:trPr>
        <w:tc>
          <w:tcPr>
            <w:tcW w:type="dxa" w:w="33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Área de efectividad</w:t>
            </w:r>
          </w:p>
        </w:tc>
        <w:tc>
          <w:tcPr>
            <w:tcW w:type="dxa" w:w="997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Peso</w:t>
            </w:r>
          </w:p>
        </w:tc>
        <w:tc>
          <w:tcPr>
            <w:tcW w:type="dxa" w:w="558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Descripción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Desarrollo y gestión de cuentas clave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25%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Desarrollar y gestionar la cartera de clientes clave, elaborar y ejecutar el plan de cuenta por cliente y dar seguimiento al crecimiento y la retención de la cuenta.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Prospección y apertura de valor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20%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Identificar y calificar cuentas de alto potencial, contactar a los decisores de nivel directivo y recibir del Especialista de Producto los leads con potencial de cuenta clave.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comercial de proyectos complejos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20%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Coordinar con Ingeniería la solución técnica de proyectos complejos, integrar la verificación del perito UVIE o UI cuando el proyecto lo requiere y actuar de enlace entre el cliente y las áreas internas.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Negociación y cierre estratégico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20%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Negociar bajo las directrices de Gerencia Comercial, formalizar contratos de largo plazo con el contrato mercantil y asegurar el cumplimiento de las condiciones acordadas.</w:t>
            </w:r>
          </w:p>
        </w:tc>
      </w:tr>
      <w:tr>
        <w:trPr>
          <w:cantSplit/>
        </w:trPr>
        <w:tc>
          <w:tcPr>
            <w:tcW w:type="dxa" w:w="3390"/>
          </w:tcPr>
          <w:p>
            <w:r/>
            <w:r>
              <w:rPr>
                <w:rFonts w:ascii="Calibri" w:hAnsi="Calibri"/>
                <w:b w:val="0"/>
                <w:sz w:val="19"/>
              </w:rPr>
              <w:t>Relacionamiento y expansión</w:t>
            </w:r>
          </w:p>
        </w:tc>
        <w:tc>
          <w:tcPr>
            <w:tcW w:type="dxa" w:w="997"/>
          </w:tcPr>
          <w:p>
            <w:r/>
            <w:r>
              <w:rPr>
                <w:rFonts w:ascii="Calibri" w:hAnsi="Calibri"/>
                <w:b w:val="0"/>
                <w:sz w:val="19"/>
              </w:rPr>
              <w:t>15%</w:t>
            </w:r>
          </w:p>
        </w:tc>
        <w:tc>
          <w:tcPr>
            <w:tcW w:type="dxa" w:w="5584"/>
          </w:tcPr>
          <w:p>
            <w:r/>
            <w:r>
              <w:rPr>
                <w:rFonts w:ascii="Calibri" w:hAnsi="Calibri"/>
                <w:b w:val="0"/>
                <w:sz w:val="19"/>
              </w:rPr>
              <w:t>Construir relaciones duraderas con los decisores, gestionar la recompra y la ampliación de la cuenta y detectar nuevas oportunidades dentro de la cuenta.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3. Responsabilidades del Sistema de Gestión de Calidad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Además de las funciones comerciales del puesto, el Ejecutivo de Cuentas Estratégicas asume las siguientes responsabilidades dentro del Sistema de Gestión de Calidad ISO 9001:2015 de SolarPro.</w:t>
      </w:r>
    </w:p>
    <w:p>
      <w:pPr>
        <w:pStyle w:val="ListBullet"/>
      </w:pPr>
      <w:r>
        <w:rPr>
          <w:rFonts w:ascii="Calibri" w:hAnsi="Calibri"/>
          <w:sz w:val="20"/>
        </w:rPr>
        <w:t>Aplicar el procedimiento comercial y de gestión de cuentas vigente del Sistema de Gestión de Calidad en la atención de cuentas estratégicas y proyectos de alto valor.</w:t>
      </w:r>
    </w:p>
    <w:p>
      <w:pPr>
        <w:pStyle w:val="ListBullet"/>
      </w:pPr>
      <w:r>
        <w:rPr>
          <w:rFonts w:ascii="Calibri" w:hAnsi="Calibri"/>
          <w:sz w:val="20"/>
        </w:rPr>
        <w:t>Generar y resguardar los registros de su área: planes de cuenta, pipeline de cuentas clave, expedientes de proyecto, propuestas técnico-comerciales y contratos formalizados.</w:t>
      </w:r>
    </w:p>
    <w:p>
      <w:pPr>
        <w:pStyle w:val="ListBullet"/>
      </w:pPr>
      <w:r>
        <w:rPr>
          <w:rFonts w:ascii="Calibri" w:hAnsi="Calibri"/>
          <w:sz w:val="20"/>
        </w:rPr>
        <w:t>Asegurar la satisfacción del cliente clave, registrar y dar seguimiento a las quejas y reclamaciones y escalarlas conforme al procedimiento aplicable.</w:t>
      </w:r>
    </w:p>
    <w:p>
      <w:pPr>
        <w:pStyle w:val="ListBullet"/>
      </w:pPr>
      <w:r>
        <w:rPr>
          <w:rFonts w:ascii="Calibri" w:hAnsi="Calibri"/>
          <w:sz w:val="20"/>
        </w:rPr>
        <w:t>Verificar la integridad y completitud de cada expediente de proyecto, incluida la verificación del perito UVIE o UI cuando el proyecto lo requiere, antes de su cierre.</w:t>
      </w:r>
    </w:p>
    <w:p>
      <w:pPr>
        <w:pStyle w:val="ListBullet"/>
      </w:pPr>
      <w:r>
        <w:rPr>
          <w:rFonts w:ascii="Calibri" w:hAnsi="Calibri"/>
          <w:sz w:val="20"/>
        </w:rPr>
        <w:t>Reportar las no conformidades detectadas en su proceso y participar en la definición y el seguimiento de las acciones correctivas.</w:t>
      </w:r>
    </w:p>
    <w:p>
      <w:pPr>
        <w:pStyle w:val="ListBullet"/>
      </w:pPr>
      <w:r>
        <w:rPr>
          <w:rFonts w:ascii="Calibri" w:hAnsi="Calibri"/>
          <w:sz w:val="20"/>
        </w:rPr>
        <w:t>Cumplir la política de calidad y contribuir al logro de los objetivos de calidad comerciales de SolarPro.</w:t>
      </w:r>
    </w:p>
    <w:p>
      <w:pPr>
        <w:pStyle w:val="ListBullet"/>
      </w:pPr>
      <w:r>
        <w:rPr>
          <w:rFonts w:ascii="Calibri" w:hAnsi="Calibri"/>
          <w:sz w:val="20"/>
        </w:rPr>
        <w:t>Participar en las auditorías internas y externas del Sistema de Gestión de Calidad y en las iniciativas de mejora continua.</w:t>
      </w:r>
    </w:p>
    <w:p>
      <w:pPr>
        <w:pStyle w:val="ListBullet"/>
      </w:pPr>
      <w:r>
        <w:rPr>
          <w:rFonts w:ascii="Calibri" w:hAnsi="Calibri"/>
          <w:sz w:val="20"/>
        </w:rPr>
        <w:t>Mantener actualizada la información de sus cuentas en las herramientas de gestión (CRM) como fuente de los indicadores del puesto.</w:t>
      </w: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4. Competencias</w:t>
      </w:r>
    </w:p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blandas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blanda</w:t>
            </w:r>
          </w:p>
        </w:tc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Visión estratégica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Negociación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Construcción de relaciones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Orientación al servicio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</w:tbl>
    <w:p>
      <w:pPr>
        <w:keepNext/>
        <w:spacing w:before="200" w:after="60"/>
      </w:pPr>
      <w:r>
        <w:rPr>
          <w:rFonts w:ascii="Georgia" w:hAnsi="Georgia"/>
          <w:b/>
          <w:color w:val="1C242E"/>
          <w:sz w:val="22"/>
        </w:rPr>
        <w:t>Competencias técnicas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71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Competencia técnica</w:t>
            </w:r>
          </w:p>
        </w:tc>
        <w:tc>
          <w:tcPr>
            <w:tcW w:type="dxa" w:w="27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Nivel requerido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Gestión de cuentas clave (KAM)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Alto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Proyectos industriales y licitaciones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Medio</w:t>
            </w:r>
          </w:p>
        </w:tc>
      </w:tr>
      <w:tr>
        <w:trPr>
          <w:cantSplit/>
        </w:trPr>
        <w:tc>
          <w:tcPr>
            <w:tcW w:type="dxa" w:w="7180"/>
          </w:tcPr>
          <w:p>
            <w:r/>
            <w:r>
              <w:rPr>
                <w:rFonts w:ascii="Calibri" w:hAnsi="Calibri"/>
                <w:b w:val="0"/>
                <w:sz w:val="19"/>
              </w:rPr>
              <w:t>Estructuración de contratos de largo plazo</w:t>
            </w:r>
          </w:p>
        </w:tc>
        <w:tc>
          <w:tcPr>
            <w:tcW w:type="dxa" w:w="2792"/>
          </w:tcPr>
          <w:p>
            <w:r/>
            <w:r>
              <w:rPr>
                <w:rFonts w:ascii="Calibri" w:hAnsi="Calibri"/>
                <w:b w:val="0"/>
                <w:sz w:val="19"/>
              </w:rPr>
              <w:t>Medio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5. Requisitos y fronteras del puesto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Requisito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Escolaridad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Licenciatura en áreas comerciales, ingeniería o administración (titulado).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Experiencia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4 o más años en ventas consultivas B2B o gestión de cuentas clave, idealmente en proyectos técnicos o industriales.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Modalidad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Presencial · SolarPro Chihuahua.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Herramientas clave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CRM Nico, Trello, Office y herramientas de propuesta técnica.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Certificaciones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[por validar con la Dirección]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8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>
              <w:rPr>
                <w:b/>
                <w:color w:val="003D80"/>
                <w:sz w:val="19"/>
              </w:rPr>
              <w:t xml:space="preserve">Pendiente: </w:t>
            </w:r>
            <w:r>
              <w:rPr>
                <w:color w:val="003D80"/>
                <w:sz w:val="19"/>
              </w:rPr>
              <w:t>El puesto no contempla trabajo en alturas ni certificación DC-3 por su naturaleza comercial. Confirmar con la Dirección si se requiere alguna certificación comercial o técnica adicional.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6. Indicadores del puesto (KPIs)</w:t>
      </w:r>
    </w:p>
    <w:p>
      <w:pPr>
        <w:spacing w:after="120"/>
      </w:pPr>
      <w:r>
        <w:rPr>
          <w:rFonts w:ascii="Calibri" w:hAnsi="Calibri"/>
          <w:color w:val="1C242E"/>
          <w:sz w:val="21"/>
        </w:rPr>
        <w:t>Indicadores derivados de las áreas de efectividad del puesto. Las metas se definen con la Dirección a partir del histórico comercial y el plan anual de cuentas clave.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2493"/>
        <w:gridCol w:w="2493"/>
        <w:gridCol w:w="2493"/>
        <w:gridCol w:w="2493"/>
      </w:tblGrid>
      <w:tr>
        <w:trPr>
          <w:cantSplit/>
        </w:trPr>
        <w:tc>
          <w:tcPr>
            <w:tcW w:type="dxa" w:w="359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Indicador</w:t>
            </w:r>
          </w:p>
        </w:tc>
        <w:tc>
          <w:tcPr>
            <w:tcW w:type="dxa" w:w="2393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Meta</w:t>
            </w:r>
          </w:p>
        </w:tc>
        <w:tc>
          <w:tcPr>
            <w:tcW w:type="dxa" w:w="1795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Frecuencia</w:t>
            </w:r>
          </w:p>
        </w:tc>
        <w:tc>
          <w:tcPr>
            <w:tcW w:type="dxa" w:w="2194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Fuente</w:t>
            </w:r>
          </w:p>
        </w:tc>
      </w:tr>
      <w:tr>
        <w:trPr>
          <w:cantSplit/>
        </w:trPr>
        <w:tc>
          <w:tcPr>
            <w:tcW w:type="dxa" w:w="3590"/>
          </w:tcPr>
          <w:p>
            <w:r/>
            <w:r>
              <w:rPr>
                <w:rFonts w:ascii="Calibri" w:hAnsi="Calibri"/>
                <w:b w:val="0"/>
                <w:sz w:val="19"/>
              </w:rPr>
              <w:t>% de crecimiento anual de facturación de la cartera clave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Anual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CRM Nico / reporte comercial</w:t>
            </w:r>
          </w:p>
        </w:tc>
      </w:tr>
      <w:tr>
        <w:trPr>
          <w:cantSplit/>
        </w:trPr>
        <w:tc>
          <w:tcPr>
            <w:tcW w:type="dxa" w:w="3590"/>
          </w:tcPr>
          <w:p>
            <w:r/>
            <w:r>
              <w:rPr>
                <w:rFonts w:ascii="Calibri" w:hAnsi="Calibri"/>
                <w:b w:val="0"/>
                <w:sz w:val="19"/>
              </w:rPr>
              <w:t>Número de prospectos de alto valor calificados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Mensual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Pipeline de cuentas (CRM)</w:t>
            </w:r>
          </w:p>
        </w:tc>
      </w:tr>
      <w:tr>
        <w:trPr>
          <w:cantSplit/>
        </w:trPr>
        <w:tc>
          <w:tcPr>
            <w:tcW w:type="dxa" w:w="3590"/>
          </w:tcPr>
          <w:p>
            <w:r/>
            <w:r>
              <w:rPr>
                <w:rFonts w:ascii="Calibri" w:hAnsi="Calibri"/>
                <w:b w:val="0"/>
                <w:sz w:val="19"/>
              </w:rPr>
              <w:t>% de expedientes de proyecto completos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Por proyecto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Expediente de proyecto</w:t>
            </w:r>
          </w:p>
        </w:tc>
      </w:tr>
      <w:tr>
        <w:trPr>
          <w:cantSplit/>
        </w:trPr>
        <w:tc>
          <w:tcPr>
            <w:tcW w:type="dxa" w:w="3590"/>
          </w:tcPr>
          <w:p>
            <w:r/>
            <w:r>
              <w:rPr>
                <w:rFonts w:ascii="Calibri" w:hAnsi="Calibri"/>
                <w:b w:val="0"/>
                <w:sz w:val="19"/>
              </w:rPr>
              <w:t>Número de contratos de largo plazo formalizados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Trimestral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Contratos / Gerencia Comercial</w:t>
            </w:r>
          </w:p>
        </w:tc>
      </w:tr>
      <w:tr>
        <w:trPr>
          <w:cantSplit/>
        </w:trPr>
        <w:tc>
          <w:tcPr>
            <w:tcW w:type="dxa" w:w="3590"/>
          </w:tcPr>
          <w:p>
            <w:r/>
            <w:r>
              <w:rPr>
                <w:rFonts w:ascii="Calibri" w:hAnsi="Calibri"/>
                <w:b w:val="0"/>
                <w:sz w:val="19"/>
              </w:rPr>
              <w:t>% de recompra o ampliación de cuentas clave</w:t>
            </w:r>
          </w:p>
        </w:tc>
        <w:tc>
          <w:tcPr>
            <w:tcW w:type="dxa" w:w="2393"/>
          </w:tcPr>
          <w:p>
            <w:r/>
            <w:r>
              <w:rPr>
                <w:rFonts w:ascii="Calibri" w:hAnsi="Calibri"/>
                <w:b w:val="0"/>
                <w:sz w:val="19"/>
              </w:rPr>
              <w:t>[por definir con la Dirección]</w:t>
            </w:r>
          </w:p>
        </w:tc>
        <w:tc>
          <w:tcPr>
            <w:tcW w:type="dxa" w:w="1795"/>
          </w:tcPr>
          <w:p>
            <w:r/>
            <w:r>
              <w:rPr>
                <w:rFonts w:ascii="Calibri" w:hAnsi="Calibri"/>
                <w:b w:val="0"/>
                <w:sz w:val="19"/>
              </w:rPr>
              <w:t>Anual</w:t>
            </w:r>
          </w:p>
        </w:tc>
        <w:tc>
          <w:tcPr>
            <w:tcW w:type="dxa" w:w="2194"/>
          </w:tcPr>
          <w:p>
            <w:r/>
            <w:r>
              <w:rPr>
                <w:rFonts w:ascii="Calibri" w:hAnsi="Calibri"/>
                <w:b w:val="0"/>
                <w:sz w:val="19"/>
              </w:rPr>
              <w:t>CRM Nico / plan de cuenta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9972"/>
      </w:tblGrid>
      <w:tr>
        <w:trPr>
          <w:cantSplit/>
        </w:trPr>
        <w:tc>
          <w:tcPr>
            <w:tcW w:type="dxa" w:w="9972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La tabla selecciona un indicador por cada una de las cinco áreas de efectividad del puesto, para mantener la coherencia entre pesos e indicadores (ISO 9.1). El perfil de origen aporta indicadores operativos complementarios que la Gerencia Comercial puede sumar al tablero de la cuenta: número de primeras reuniones con decisores, tiempo de respuesta interna a las solicitudes del cliente, porcentaje de cumplimiento de las condiciones acordadas y valor del pipeline de expansión.</w:t>
            </w:r>
          </w:p>
        </w:tc>
      </w:tr>
    </w:tbl>
    <w:p>
      <w:pPr>
        <w:spacing w:after="40"/>
      </w:pPr>
    </w:p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7. Relaciones y línea de reporte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404040"/>
          <w:left w:val="single" w:sz="4" w:color="404040"/>
          <w:bottom w:val="single" w:sz="4" w:color="404040"/>
          <w:right w:val="single" w:sz="4" w:color="404040"/>
          <w:insideH w:val="single" w:sz="4" w:color="404040"/>
          <w:insideV w:val="single" w:sz="4" w:color="404040"/>
        </w:tblBorders>
      </w:tblPr>
      <w:tblGrid>
        <w:gridCol w:w="4986"/>
        <w:gridCol w:w="4986"/>
      </w:tblGrid>
      <w:tr>
        <w:trPr>
          <w:cantSplit/>
        </w:trPr>
        <w:tc>
          <w:tcPr>
            <w:tcW w:type="dxa" w:w="2992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Relación</w:t>
            </w:r>
          </w:p>
        </w:tc>
        <w:tc>
          <w:tcPr>
            <w:tcW w:type="dxa" w:w="6980"/>
            <w:shd w:val="clear" w:fill="0056B4"/>
          </w:tcPr>
          <w:p>
            <w:pPr>
              <w:jc w:val="center"/>
            </w:pPr>
            <w:r/>
            <w:r>
              <w:rPr>
                <w:rFonts w:ascii="Calibri" w:hAnsi="Calibri"/>
                <w:b/>
                <w:color w:val="FFFFFF"/>
                <w:sz w:val="17"/>
              </w:rPr>
              <w:t>Detalle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Reporta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Gerencia Comercial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Supervisa 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Ninguno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Coordinación interna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Ingeniería (solución técnica de proyectos complejos), Especialista de Producto (recepción de leads con potencial de cuenta clave) y perito UVIE o UI (verificación).</w:t>
            </w:r>
          </w:p>
        </w:tc>
      </w:tr>
      <w:tr>
        <w:trPr>
          <w:cantSplit/>
        </w:trPr>
        <w:tc>
          <w:tcPr>
            <w:tcW w:type="dxa" w:w="2992"/>
          </w:tcPr>
          <w:p>
            <w:r/>
            <w:r>
              <w:rPr>
                <w:rFonts w:ascii="Calibri" w:hAnsi="Calibri"/>
                <w:b w:val="0"/>
                <w:sz w:val="19"/>
              </w:rPr>
              <w:t>Negocia bajo</w:t>
            </w:r>
          </w:p>
        </w:tc>
        <w:tc>
          <w:tcPr>
            <w:tcW w:type="dxa" w:w="6980"/>
          </w:tcPr>
          <w:p>
            <w:r/>
            <w:r>
              <w:rPr>
                <w:rFonts w:ascii="Calibri" w:hAnsi="Calibri"/>
                <w:b w:val="0"/>
                <w:sz w:val="19"/>
              </w:rPr>
              <w:t>Las directrices de Gerencia Comercial; las condiciones especiales las autoriza Gerencia Comercial.</w:t>
            </w:r>
          </w:p>
        </w:tc>
      </w:tr>
    </w:tbl>
    <w:p>
      <w:pPr>
        <w:keepNext/>
        <w:spacing w:before="28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6"/>
        </w:rPr>
        <w:t>APROBACIÓN</w:t>
      </w:r>
    </w:p>
    <w:p>
      <w:pPr>
        <w:spacing w:after="120"/>
      </w:pP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rPr>
          <w:cantSplit/>
        </w:trPr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Elaboró</w:t>
              <w:br/>
              <w:t>DETA Consultores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Revisó</w:t>
              <w:br/>
              <w:t>Gerencia Comercial</w:t>
            </w:r>
          </w:p>
        </w:tc>
        <w:tc>
          <w:tcPr>
            <w:tcW w:type="dxa" w:w="3324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Aprobó</w:t>
              <w:br/>
              <w:t>Dirección General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Ejecutivo de Cuentas Estratégicas · PER-KAM V1</w:t>
    </w:r>
    <w:r>
      <w:tab/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PAGE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rPr>
        <w:color w:val="595959"/>
        <w:sz w:val="15"/>
      </w:rPr>
      <w:t xml:space="preserve"> / </w:t>
    </w:r>
    <w:r>
      <w:rPr>
        <w:rFonts w:ascii="Calibri" w:hAnsi="Calibri"/>
        <w:sz w:val="16"/>
      </w:rPr>
      <w:fldChar w:fldCharType="begin"/>
    </w:r>
    <w:r>
      <w:rPr>
        <w:rFonts w:ascii="Calibri" w:hAnsi="Calibri"/>
        <w:sz w:val="16"/>
      </w:rPr>
      <w:instrText xml:space="preserve"> NUMPAGES </w:instrText>
    </w:r>
    <w:r>
      <w:fldChar w:fldCharType="separate"/>
    </w:r>
    <w:r>
      <w:rPr>
        <w:rFonts w:ascii="Calibri" w:hAnsi="Calibri"/>
        <w:sz w:val="16"/>
      </w:rPr>
      <w:t>1</w:t>
    </w:r>
    <w:r>
      <w:fldChar w:fldCharType="end"/>
    </w:r>
    <w:r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