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448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24000" cy="4021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4021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6"/>
              </w:rPr>
              <w:t>Escalamiento a Ingeniería y Seguimiento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Código: </w:t>
            </w:r>
            <w:r>
              <w:rPr>
                <w:rFonts w:ascii="Calibri" w:hAnsi="Calibri"/>
                <w:sz w:val="15"/>
              </w:rPr>
              <w:t>PRO-PVM-04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Versión: </w:t>
            </w:r>
            <w:r>
              <w:rPr>
                <w:rFonts w:ascii="Calibri" w:hAnsi="Calibri"/>
                <w:sz w:val="15"/>
              </w:rPr>
              <w:t>1.0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Emisión: </w:t>
            </w:r>
            <w:r>
              <w:rPr>
                <w:rFonts w:ascii="Calibri" w:hAnsi="Calibri"/>
                <w:sz w:val="15"/>
              </w:rPr>
              <w:t>Septiembre 2026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Revisión: </w:t>
            </w:r>
            <w:r>
              <w:rPr>
                <w:rFonts w:ascii="Calibri" w:hAnsi="Calibri"/>
                <w:sz w:val="15"/>
              </w:rPr>
              <w:t>Diciembre 2026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Procedimiento de Postventa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Estado: </w:t>
            </w:r>
            <w:r>
              <w:rPr>
                <w:rFonts w:ascii="Calibri" w:hAnsi="Calibri"/>
                <w:sz w:val="15"/>
              </w:rPr>
              <w:t>Borrador para validación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Página: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PAGE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  <w:r>
              <w:rPr>
                <w:rFonts w:ascii="Calibri" w:hAnsi="Calibri"/>
                <w:sz w:val="15"/>
              </w:rPr>
              <w:t xml:space="preserve"> de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NUMPAGES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Cláusula ISO 9001: 8.5.5, 9.1.2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Propietario: </w:t>
            </w:r>
            <w:r>
              <w:rPr>
                <w:rFonts w:ascii="Calibri" w:hAnsi="Calibri"/>
                <w:sz w:val="15"/>
              </w:rPr>
              <w:t>Coordinación de Postventa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Elaboró: </w:t>
            </w:r>
            <w:r>
              <w:rPr>
                <w:rFonts w:ascii="Calibri" w:hAnsi="Calibri"/>
                <w:sz w:val="15"/>
              </w:rPr>
              <w:t>DETA Consultores</w:t>
            </w:r>
          </w:p>
        </w:tc>
      </w:tr>
    </w:tbl>
    <w:p>
      <w:pPr>
        <w:spacing w:before="40" w:after="16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Importante: La revisión eléctrica y estructural es responsabilidad de Ingeniería y se ejecuta y documenta bajo PRO-ING-05 y FOR-ING-05. Este procedimiento gestiona el escalamiento, el seguimiento del plazo y la retroalimentación al cliente; no reescribe la revisión técnica.</w:t>
            </w:r>
          </w:p>
        </w:tc>
      </w:tr>
    </w:tbl>
    <w:p>
      <w:pPr>
        <w:spacing w:after="40"/>
      </w:pP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Estandarizar el traspaso de los casos de postventa que requieren revisión eléctrica, estructural o reconfiguración hacia Ingeniería u Operaciones, el cumplimiento del plazo de 15 a 20 días y el seguimiento con retroalimentación al cliente, sin reescribir la revisión técnica (PRO-ING-05).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a los casos clasificados en PRO-PVM-01 o PRO-PVM-02 que requieren una revisión o reconfiguración formal. Cubre desde la apertura del ticket hacia Ingeniería u Operaciones hasta la retroalimentación al cliente en el cierre. La ejecución de la revisión eléctrica y estructural es de Ingeniería (PRO-ING-05) y este procedimiento no la reescribe.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3. DEFINICIONES Y ABREVIATURAS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Definición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Escalamiento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Traspaso formal de un caso de postventa a Ingeniería u Operaciones para su revisión o reconfiguración.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Ticket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Registro del caso y de su ruta de atención (FOR-PVM-01).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SLA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Plazo comprometido de resolución del caso escalado: de 15 a 20 días.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Traspaso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Entrega del caso con el concentrado de evidencias y el análisis preliminar completos.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Retroalimentación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Contacto de Postventa con el cliente tras el cierre para informarle el resultado y registrar su percepción.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4. DOCUMENTOS DE REFERENCIA</w:t>
      </w:r>
    </w:p>
    <w:p>
      <w:pPr>
        <w:pStyle w:val="ListBullet"/>
      </w:pPr>
      <w:r>
        <w:rPr>
          <w:rFonts w:ascii="Calibri" w:hAnsi="Calibri"/>
          <w:sz w:val="20"/>
        </w:rPr>
        <w:t>ISO 9001:2015 cláusulas 8.5.5 (actividades posteriores a la entrega) y 9.1.2 (satisfacción del cliente)</w:t>
      </w:r>
    </w:p>
    <w:p>
      <w:pPr>
        <w:pStyle w:val="ListBullet"/>
      </w:pPr>
      <w:r>
        <w:rPr>
          <w:rFonts w:ascii="Calibri" w:hAnsi="Calibri"/>
          <w:sz w:val="20"/>
        </w:rPr>
        <w:t>SOL-PROC-001 Proceso Comercial-Ingeniería-Postventa, fase 7.6 (documento origen)</w:t>
      </w:r>
    </w:p>
    <w:p>
      <w:pPr>
        <w:pStyle w:val="ListBullet"/>
      </w:pPr>
      <w:r>
        <w:rPr>
          <w:rFonts w:ascii="Calibri" w:hAnsi="Calibri"/>
          <w:sz w:val="20"/>
        </w:rPr>
        <w:t>PRO-ING-05 Revisiones Programadas y Postventa Técnica (ejecución de la revisión)</w:t>
      </w:r>
    </w:p>
    <w:p>
      <w:pPr>
        <w:pStyle w:val="ListBullet"/>
      </w:pPr>
      <w:r>
        <w:rPr>
          <w:rFonts w:ascii="Calibri" w:hAnsi="Calibri"/>
          <w:sz w:val="20"/>
        </w:rPr>
        <w:t>PRO-ING-01 Planeación y Programación de Visitas Técnicas (criterio de tarjeta completa)</w:t>
      </w:r>
    </w:p>
    <w:p>
      <w:pPr>
        <w:pStyle w:val="ListBullet"/>
      </w:pPr>
      <w:r>
        <w:rPr>
          <w:rFonts w:ascii="Calibri" w:hAnsi="Calibri"/>
          <w:sz w:val="20"/>
        </w:rPr>
        <w:t>FOR-PVM-01 Ticket de Postventa</w:t>
      </w:r>
    </w:p>
    <w:p>
      <w:pPr>
        <w:pStyle w:val="ListBullet"/>
      </w:pPr>
      <w:r>
        <w:rPr>
          <w:rFonts w:ascii="Calibri" w:hAnsi="Calibri"/>
          <w:sz w:val="20"/>
        </w:rPr>
        <w:t>FOR-PVM-02 Concentrado de Evidencias del Cliente</w:t>
      </w:r>
    </w:p>
    <w:p>
      <w:pPr>
        <w:pStyle w:val="ListBullet"/>
      </w:pPr>
      <w:r>
        <w:rPr>
          <w:rFonts w:ascii="Calibri" w:hAnsi="Calibri"/>
          <w:sz w:val="20"/>
        </w:rPr>
        <w:t>FOR-ING-05 Encuesta de revisión (cierre técnico de la revisión, por Ingeniería)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5. RESPONSABILIDADES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714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Preparar y escalar el ticket  ·  Comunicar el plazo al cliente al escalar  ·  Dar seguimiento al avance  ·  Retroalimentar al cliente en el cierre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Agendar y ejecutar la revisión o reconfiguración en Ingeniería u Operaciones (PRO-ING-05)  ·  Documentar el cierre técnico en FOR-ING-05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Postventa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Escalar los casos que exceden el plazo comprometido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6. POLÍTICAS Y LINEAMIENTOS</w:t>
      </w:r>
    </w:p>
    <w:p>
      <w:pPr>
        <w:spacing w:after="100"/>
      </w:pPr>
      <w:r>
        <w:rPr>
          <w:b/>
          <w:color w:val="0056B4"/>
          <w:sz w:val="20"/>
        </w:rPr>
        <w:t xml:space="preserve">Traspaso con evidencia. </w:t>
      </w:r>
      <w:r>
        <w:rPr>
          <w:rFonts w:ascii="Calibri" w:hAnsi="Calibri"/>
          <w:sz w:val="20"/>
        </w:rPr>
        <w:t>El ticket se escala a Ingeniería u Operaciones con el concentrado de evidencias (FOR-PVM-02) y el análisis preliminar completos; sin ellos el caso no se agenda, en línea con el criterio de tarjeta completa de PRO-ING-01.</w:t>
      </w:r>
    </w:p>
    <w:p>
      <w:pPr>
        <w:spacing w:after="100"/>
      </w:pPr>
      <w:r>
        <w:rPr>
          <w:b/>
          <w:color w:val="0056B4"/>
          <w:sz w:val="20"/>
        </w:rPr>
        <w:t xml:space="preserve">Plazo comprometido. </w:t>
      </w:r>
      <w:r>
        <w:rPr>
          <w:rFonts w:ascii="Calibri" w:hAnsi="Calibri"/>
          <w:sz w:val="20"/>
        </w:rPr>
        <w:t>El caso escalado se resuelve en un rango de 15 a 20 días. Postventa comunica el plazo al cliente al escalar el caso.</w:t>
      </w:r>
    </w:p>
    <w:p>
      <w:pPr>
        <w:spacing w:after="100"/>
      </w:pPr>
      <w:r>
        <w:rPr>
          <w:b/>
          <w:color w:val="0056B4"/>
          <w:sz w:val="20"/>
        </w:rPr>
        <w:t xml:space="preserve">No reescritura de la revisión. </w:t>
      </w:r>
      <w:r>
        <w:rPr>
          <w:rFonts w:ascii="Calibri" w:hAnsi="Calibri"/>
          <w:sz w:val="20"/>
        </w:rPr>
        <w:t>La revisión eléctrica y estructural se ejecuta y documenta bajo PRO-ING-05 y FOR-ING-05; Postventa no la ejecuta ni la redefine.</w:t>
      </w:r>
    </w:p>
    <w:p>
      <w:pPr>
        <w:spacing w:after="100"/>
      </w:pPr>
      <w:r>
        <w:rPr>
          <w:b/>
          <w:color w:val="0056B4"/>
          <w:sz w:val="20"/>
        </w:rPr>
        <w:t xml:space="preserve">Retroalimentación al cliente. </w:t>
      </w:r>
      <w:r>
        <w:rPr>
          <w:rFonts w:ascii="Calibri" w:hAnsi="Calibri"/>
          <w:sz w:val="20"/>
        </w:rPr>
        <w:t>Al cierre del caso por Ingeniería, Postventa retroalimenta al cliente cuando este lo desea y registra su percepción sobre la resolución.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color w:val="1C242E"/>
          <w:sz w:val="20"/>
        </w:rPr>
        <w:t>El procedimiento se desarrolla en fases secuenciales. Cada paso identifica al responsable y, cuando aplica, el registro que debe generarse.</w:t>
      </w:r>
    </w:p>
    <w:p>
      <w:pPr>
        <w:spacing w:before="160" w:after="60"/>
      </w:pPr>
      <w:r>
        <w:rPr>
          <w:b/>
          <w:color w:val="1C242E"/>
          <w:sz w:val="21"/>
        </w:rPr>
        <w:t>Fase 1. Escalamiento</w:t>
      </w:r>
    </w:p>
    <w:p>
      <w:pPr>
        <w:spacing w:after="60"/>
        <w:ind w:left="340"/>
      </w:pPr>
      <w:r>
        <w:rPr>
          <w:b/>
          <w:sz w:val="20"/>
        </w:rPr>
        <w:t xml:space="preserve">1. Preparar el traspaso </w:t>
      </w:r>
      <w:r>
        <w:rPr>
          <w:rFonts w:ascii="Calibri" w:hAnsi="Calibri"/>
          <w:sz w:val="20"/>
        </w:rPr>
        <w:t>· Consolidar el ticket (FOR-PVM-01), el concentrado de evidencias (FOR-PVM-02) y el análisis preliminar. Si falta información, completar las evidencias con el cliente (FOR-PVM-02) o el análisis preliminar interno antes de escalar.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Traspaso completo</w:t>
      </w:r>
    </w:p>
    <w:p>
      <w:pPr>
        <w:spacing w:after="60"/>
        <w:ind w:left="340"/>
      </w:pPr>
      <w:r>
        <w:rPr>
          <w:b/>
          <w:sz w:val="20"/>
        </w:rPr>
        <w:t xml:space="preserve">2. Escalar a Ingeniería u Operaciones </w:t>
      </w:r>
      <w:r>
        <w:rPr>
          <w:rFonts w:ascii="Calibri" w:hAnsi="Calibri"/>
          <w:sz w:val="20"/>
        </w:rPr>
        <w:t>· Canalizar el ticket al departamento correspondiente vía Trello y comunicar al cliente el plazo de 15 a 20 días.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FOR-PVM-01 actualizado</w:t>
      </w:r>
    </w:p>
    <w:p>
      <w:pPr>
        <w:spacing w:before="160" w:after="60"/>
      </w:pPr>
      <w:r>
        <w:rPr>
          <w:b/>
          <w:color w:val="1C242E"/>
          <w:sz w:val="21"/>
        </w:rPr>
        <w:t>Fase 2. Ejecución por Ingeniería (referencia)</w:t>
      </w:r>
    </w:p>
    <w:p>
      <w:pPr>
        <w:spacing w:after="60"/>
        <w:ind w:left="340"/>
      </w:pPr>
      <w:r>
        <w:rPr>
          <w:b/>
          <w:sz w:val="20"/>
        </w:rPr>
        <w:t xml:space="preserve">3. Agendar y ejecutar la revisión </w:t>
      </w:r>
      <w:r>
        <w:rPr>
          <w:rFonts w:ascii="Calibri" w:hAnsi="Calibri"/>
          <w:sz w:val="20"/>
        </w:rPr>
        <w:t>· La revisión o reconfiguración se agenda y ejecuta según PRO-ING-05 y el cierre técnico se documenta en FOR-ING-05. Este paso es una referencia; no se reescribe la revisión.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Coordinación de Ingeniería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FOR-ING-05 (por Ingeniería)</w:t>
      </w:r>
    </w:p>
    <w:p>
      <w:pPr>
        <w:spacing w:before="160" w:after="60"/>
      </w:pPr>
      <w:r>
        <w:rPr>
          <w:b/>
          <w:color w:val="1C242E"/>
          <w:sz w:val="21"/>
        </w:rPr>
        <w:t>Fase 3. Seguimiento y cierre</w:t>
      </w:r>
    </w:p>
    <w:p>
      <w:pPr>
        <w:spacing w:after="60"/>
        <w:ind w:left="340"/>
      </w:pPr>
      <w:r>
        <w:rPr>
          <w:b/>
          <w:sz w:val="20"/>
        </w:rPr>
        <w:t xml:space="preserve">4. Monitorear el plazo </w:t>
      </w:r>
      <w:r>
        <w:rPr>
          <w:rFonts w:ascii="Calibri" w:hAnsi="Calibri"/>
          <w:sz w:val="20"/>
        </w:rPr>
        <w:t>· Dar seguimiento al avance del caso durante su ejecución; si excede el rango de 15 a 20 días, escalar a Coordinación de Postventa y reforzar el seguimiento hasta el cierre.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Dentro del plazo o escalado</w:t>
      </w:r>
    </w:p>
    <w:p>
      <w:pPr>
        <w:spacing w:after="60"/>
        <w:ind w:left="340"/>
      </w:pPr>
      <w:r>
        <w:rPr>
          <w:b/>
          <w:sz w:val="20"/>
        </w:rPr>
        <w:t xml:space="preserve">5. Retroalimentar al cliente </w:t>
      </w:r>
      <w:r>
        <w:rPr>
          <w:rFonts w:ascii="Calibri" w:hAnsi="Calibri"/>
          <w:sz w:val="20"/>
        </w:rPr>
        <w:t>· Al cierre, cuando el cliente lo desea, contactarlo para la retroalimentación, registrar su percepción sobre la resolución y cerrar el ticket.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FOR-PVM-01 cerrado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8. DIAGRAMA DE FLUJO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54796" cy="68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-pvm-04-escalamient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4796" cy="68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95959"/>
          <w:sz w:val="17"/>
        </w:rPr>
        <w:t>Del traspaso a Ingeniería al cierre del ticket con retroalimentación al cliente.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9. REGISTROS Y FORMATOS ASOCIADOS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Código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Formato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FOR-PVM-01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Ticket de Postventa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FOR-ING-05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Encuesta de revisión (registro de PRO-ING-05, insumo del cierre)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10. CONTROL DE CAMBIOS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12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  <w:t>1.0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Septiembre 2026</w:t>
            </w:r>
          </w:p>
        </w:tc>
        <w:tc>
          <w:tcPr>
            <w:tcW w:type="dxa" w:w="5712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inicial. Formaliza el escalamiento de Postventa a Ingeniería y el seguimiento del plazo. Revisión trimestral.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11. CONTROL DE FIRMAS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Coordinación de Postventa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Procedimiento de Postventa · PRO-PVM-04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