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</w:tblPr>
      <w:tblGrid>
        <w:gridCol w:w="2550"/>
        <w:gridCol w:w="2550"/>
        <w:gridCol w:w="2550"/>
        <w:gridCol w:w="2550"/>
      </w:tblGrid>
      <w:tr>
        <w:tc>
          <w:tcPr>
            <w:tcW w:type="dxa" w:w="2448"/>
            <w:vMerge w:val="restart"/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224000" cy="40217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neles-solares-chihuahua-financiamiento-cotizacion-credito-energia-solar-cibanco-solarpro-sustainable-energy-log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40217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080"/>
            <w:vMerge w:val="restart"/>
            <w:shd w:val="clear" w:fill="F2F2F2"/>
          </w:tcPr>
          <w:p>
            <w:pPr>
              <w:jc w:val="center"/>
            </w:pPr>
            <w:r/>
            <w:r>
              <w:rPr>
                <w:rFonts w:ascii="Georgia" w:hAnsi="Georgia"/>
                <w:b/>
                <w:sz w:val="26"/>
              </w:rPr>
              <w:t>Garantías y Lecciones Aprendidas</w:t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/>
                <w:sz w:val="15"/>
              </w:rPr>
              <w:t xml:space="preserve">Código: </w:t>
            </w:r>
            <w:r>
              <w:rPr>
                <w:rFonts w:ascii="Calibri" w:hAnsi="Calibri"/>
                <w:sz w:val="15"/>
              </w:rPr>
              <w:t>PRO-PVM-05</w:t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/>
                <w:sz w:val="15"/>
              </w:rPr>
              <w:t xml:space="preserve">Versión: </w:t>
            </w:r>
            <w:r>
              <w:rPr>
                <w:rFonts w:ascii="Calibri" w:hAnsi="Calibri"/>
                <w:sz w:val="15"/>
              </w:rPr>
              <w:t>1.0</w:t>
            </w:r>
          </w:p>
        </w:tc>
      </w:tr>
      <w:tr>
        <w:tc>
          <w:tcPr>
            <w:tcW w:type="dxa" w:w="2448"/>
            <w:vMerge/>
          </w:tcPr>
          <w:p/>
        </w:tc>
        <w:tc>
          <w:tcPr>
            <w:tcW w:type="dxa" w:w="4080"/>
            <w:vMerge/>
          </w:tcPr>
          <w:p/>
        </w:tc>
        <w:tc>
          <w:tcPr>
            <w:tcW w:type="dxa" w:w="1836"/>
          </w:tcPr>
          <w:p>
            <w:r/>
            <w:r>
              <w:rPr>
                <w:rFonts w:ascii="Calibri" w:hAnsi="Calibri"/>
                <w:b/>
                <w:sz w:val="15"/>
              </w:rPr>
              <w:t xml:space="preserve">Emisión: </w:t>
            </w:r>
            <w:r>
              <w:rPr>
                <w:rFonts w:ascii="Calibri" w:hAnsi="Calibri"/>
                <w:sz w:val="15"/>
              </w:rPr>
              <w:t>Septiembre 2026</w:t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/>
                <w:sz w:val="15"/>
              </w:rPr>
              <w:t xml:space="preserve">Revisión: </w:t>
            </w:r>
            <w:r>
              <w:rPr>
                <w:rFonts w:ascii="Calibri" w:hAnsi="Calibri"/>
                <w:sz w:val="15"/>
              </w:rPr>
              <w:t>Diciembre 2026</w:t>
            </w:r>
          </w:p>
        </w:tc>
      </w:tr>
      <w:tr>
        <w:tc>
          <w:tcPr>
            <w:tcW w:type="dxa" w:w="2448"/>
            <w:vMerge/>
          </w:tcPr>
          <w:p/>
        </w:tc>
        <w:tc>
          <w:tcPr>
            <w:tcW w:type="dxa" w:w="408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6"/>
              </w:rPr>
              <w:t>Procedimiento de Postventa</w:t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/>
                <w:sz w:val="15"/>
              </w:rPr>
              <w:t xml:space="preserve">Estado: </w:t>
            </w:r>
            <w:r>
              <w:rPr>
                <w:rFonts w:ascii="Calibri" w:hAnsi="Calibri"/>
                <w:sz w:val="15"/>
              </w:rPr>
              <w:t>Borrador para validación</w:t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/>
                <w:sz w:val="15"/>
              </w:rPr>
              <w:t xml:space="preserve">Página: </w:t>
            </w:r>
            <w:r>
              <w:rPr>
                <w:rFonts w:ascii="Calibri" w:hAnsi="Calibri"/>
                <w:sz w:val="15"/>
              </w:rPr>
              <w:fldChar w:fldCharType="begin"/>
            </w:r>
            <w:r>
              <w:rPr>
                <w:rFonts w:ascii="Calibri" w:hAnsi="Calibri"/>
                <w:sz w:val="15"/>
              </w:rPr>
              <w:instrText xml:space="preserve"> PAGE </w:instrText>
            </w:r>
            <w:r>
              <w:fldChar w:fldCharType="separate"/>
            </w:r>
            <w:r>
              <w:rPr>
                <w:rFonts w:ascii="Calibri" w:hAnsi="Calibri"/>
                <w:sz w:val="15"/>
              </w:rPr>
              <w:t>1</w:t>
            </w:r>
            <w:r>
              <w:fldChar w:fldCharType="end"/>
            </w:r>
            <w:r>
              <w:rPr>
                <w:rFonts w:ascii="Calibri" w:hAnsi="Calibri"/>
                <w:sz w:val="15"/>
              </w:rPr>
              <w:t xml:space="preserve"> de </w:t>
            </w:r>
            <w:r>
              <w:rPr>
                <w:rFonts w:ascii="Calibri" w:hAnsi="Calibri"/>
                <w:sz w:val="15"/>
              </w:rPr>
              <w:fldChar w:fldCharType="begin"/>
            </w:r>
            <w:r>
              <w:rPr>
                <w:rFonts w:ascii="Calibri" w:hAnsi="Calibri"/>
                <w:sz w:val="15"/>
              </w:rPr>
              <w:instrText xml:space="preserve"> NUMPAGES </w:instrText>
            </w:r>
            <w:r>
              <w:fldChar w:fldCharType="separate"/>
            </w:r>
            <w:r>
              <w:rPr>
                <w:rFonts w:ascii="Calibri" w:hAnsi="Calibri"/>
                <w:sz w:val="15"/>
              </w:rPr>
              <w:t>1</w:t>
            </w:r>
            <w:r>
              <w:fldChar w:fldCharType="end"/>
            </w:r>
          </w:p>
        </w:tc>
      </w:tr>
      <w:tr>
        <w:tc>
          <w:tcPr>
            <w:tcW w:type="dxa" w:w="2448"/>
            <w:vMerge/>
          </w:tcPr>
          <w:p/>
        </w:tc>
        <w:tc>
          <w:tcPr>
            <w:tcW w:type="dxa" w:w="408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6"/>
              </w:rPr>
              <w:t>Cláusula ISO 9001: 7.1.6, 8.5.5, 10.2</w:t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/>
                <w:sz w:val="15"/>
              </w:rPr>
              <w:t xml:space="preserve">Propietario: </w:t>
            </w:r>
            <w:r>
              <w:rPr>
                <w:rFonts w:ascii="Calibri" w:hAnsi="Calibri"/>
                <w:sz w:val="15"/>
              </w:rPr>
              <w:t>Coordinación de Postventa</w:t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/>
                <w:sz w:val="15"/>
              </w:rPr>
              <w:t xml:space="preserve">Elaboró: </w:t>
            </w:r>
            <w:r>
              <w:rPr>
                <w:rFonts w:ascii="Calibri" w:hAnsi="Calibri"/>
                <w:sz w:val="15"/>
              </w:rPr>
              <w:t>DETA Consultores</w:t>
            </w:r>
          </w:p>
        </w:tc>
      </w:tr>
    </w:tbl>
    <w:p>
      <w:pPr>
        <w:spacing w:before="40" w:after="160"/>
        <w:pBdr>
          <w:bottom w:val="single" w:sz="18" w:color="F0E528"/>
        </w:pBdr>
      </w:pPr>
    </w:p>
    <w:tbl>
      <w:tblPr>
        <w:tblW w:type="auto" w:w="0"/>
        <w:tblLook w:firstColumn="1" w:firstRow="1" w:lastColumn="0" w:lastRow="0" w:noHBand="0" w:noVBand="1" w:val="04A0"/>
        <w:tblBorders>
          <w:left w:val="single" w:sz="16" w:color="F0E528"/>
        </w:tblBorders>
      </w:tblPr>
      <w:tblGrid>
        <w:gridCol w:w="10200"/>
      </w:tblGrid>
      <w:tr>
        <w:tc>
          <w:tcPr>
            <w:tcW w:type="dxa" w:w="10200"/>
            <w:shd w:val="clear" w:fill="FFF9DB"/>
          </w:tcPr>
          <w:p>
            <w:r/>
            <w:r>
              <w:rPr>
                <w:rFonts w:ascii="Calibri" w:hAnsi="Calibri"/>
                <w:b w:val="0"/>
                <w:color w:val="003D80"/>
                <w:sz w:val="17"/>
              </w:rPr>
              <w:t>Importante: La cobertura de garantía es de 2 años por SolarPro por la instalación y de 5 años por el proveedor por el equipo. Toda determinación se documenta en FOR-PVM-04 y se adjunta al ticket. Las fallas recurrentes se retroalimentan a Ingeniería y al proceso (SOL-PROC-001) para prevenir su recurrencia.</w:t>
            </w:r>
          </w:p>
        </w:tc>
      </w:tr>
    </w:tbl>
    <w:p>
      <w:pPr>
        <w:spacing w:after="40"/>
      </w:pPr>
    </w:p>
    <w:p>
      <w:pPr>
        <w:keepNext/>
        <w:spacing w:before="24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2"/>
        </w:rPr>
        <w:t>1. OBJETIVO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Estandarizar la determinación de la garantía (SolarPro 2 años por instalación y proveedor 5 años por equipo), documentada en FOR-PVM-04, y la captura de lecciones aprendidas y fallas recurrentes para retroalimentar al proceso y a Ingeniería.</w:t>
      </w:r>
    </w:p>
    <w:p>
      <w:pPr>
        <w:keepNext/>
        <w:spacing w:before="24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2"/>
        </w:rPr>
        <w:t>2. ALCANCE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Aplica a todo caso de postventa en el que deba determinarse la procedencia de garantía y a la revisión periódica de las fallas recurrentes. Cubre el criterio de garantía y el ciclo de lecciones aprendidas.</w:t>
      </w:r>
    </w:p>
    <w:p>
      <w:pPr>
        <w:keepNext/>
        <w:spacing w:before="24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2"/>
        </w:rPr>
        <w:t>3. DEFINICIONES Y ABREVIATURAS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5100"/>
        <w:gridCol w:w="5100"/>
      </w:tblGrid>
      <w:tr>
        <w:tc>
          <w:tcPr>
            <w:tcW w:type="dxa" w:w="285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Término</w:t>
            </w:r>
          </w:p>
        </w:tc>
        <w:tc>
          <w:tcPr>
            <w:tcW w:type="dxa" w:w="734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Definición</w:t>
            </w:r>
          </w:p>
        </w:tc>
      </w:tr>
      <w:tr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  <w:t>Garantía SolarPro</w:t>
            </w:r>
          </w:p>
        </w:tc>
        <w:tc>
          <w:tcPr>
            <w:tcW w:type="dxa" w:w="7344"/>
          </w:tcPr>
          <w:p>
            <w:r/>
            <w:r>
              <w:rPr>
                <w:rFonts w:ascii="Calibri" w:hAnsi="Calibri"/>
                <w:b w:val="0"/>
                <w:sz w:val="19"/>
              </w:rPr>
              <w:t>Cobertura de 2 años por la instalación realizada por SolarPro.</w:t>
            </w:r>
          </w:p>
        </w:tc>
      </w:tr>
      <w:tr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  <w:t>Garantía del proveedor</w:t>
            </w:r>
          </w:p>
        </w:tc>
        <w:tc>
          <w:tcPr>
            <w:tcW w:type="dxa" w:w="7344"/>
          </w:tcPr>
          <w:p>
            <w:r/>
            <w:r>
              <w:rPr>
                <w:rFonts w:ascii="Calibri" w:hAnsi="Calibri"/>
                <w:b w:val="0"/>
                <w:sz w:val="19"/>
              </w:rPr>
              <w:t>Cobertura de 5 años por el equipo, a cargo del proveedor.</w:t>
            </w:r>
          </w:p>
        </w:tc>
      </w:tr>
      <w:tr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  <w:t>Determinación de garantía</w:t>
            </w:r>
          </w:p>
        </w:tc>
        <w:tc>
          <w:tcPr>
            <w:tcW w:type="dxa" w:w="7344"/>
          </w:tcPr>
          <w:p>
            <w:r/>
            <w:r>
              <w:rPr>
                <w:rFonts w:ascii="Calibri" w:hAnsi="Calibri"/>
                <w:b w:val="0"/>
                <w:sz w:val="19"/>
              </w:rPr>
              <w:t>Clasificación documentada de si un caso aplica a garantía o se cobra; se registra en FOR-PVM-04.</w:t>
            </w:r>
          </w:p>
        </w:tc>
      </w:tr>
      <w:tr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  <w:t>Falla recurrente</w:t>
            </w:r>
          </w:p>
        </w:tc>
        <w:tc>
          <w:tcPr>
            <w:tcW w:type="dxa" w:w="7344"/>
          </w:tcPr>
          <w:p>
            <w:r/>
            <w:r>
              <w:rPr>
                <w:rFonts w:ascii="Calibri" w:hAnsi="Calibri"/>
                <w:b w:val="0"/>
                <w:sz w:val="19"/>
              </w:rPr>
              <w:t>Condición que se repite entre clientes o visitas y que amerita una acción preventiva.</w:t>
            </w:r>
          </w:p>
        </w:tc>
      </w:tr>
      <w:tr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  <w:t>Lección aprendida</w:t>
            </w:r>
          </w:p>
        </w:tc>
        <w:tc>
          <w:tcPr>
            <w:tcW w:type="dxa" w:w="7344"/>
          </w:tcPr>
          <w:p>
            <w:r/>
            <w:r>
              <w:rPr>
                <w:rFonts w:ascii="Calibri" w:hAnsi="Calibri"/>
                <w:b w:val="0"/>
                <w:sz w:val="19"/>
              </w:rPr>
              <w:t>Hallazgo documentado que retroalimenta el diseño, la instalación o el mantenimiento.</w:t>
            </w:r>
          </w:p>
        </w:tc>
      </w:tr>
    </w:tbl>
    <w:p>
      <w:pPr>
        <w:keepNext/>
        <w:spacing w:before="24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2"/>
        </w:rPr>
        <w:t>4. DOCUMENTOS DE REFERENCIA</w:t>
      </w:r>
    </w:p>
    <w:p>
      <w:pPr>
        <w:pStyle w:val="ListBullet"/>
      </w:pPr>
      <w:r>
        <w:rPr>
          <w:rFonts w:ascii="Calibri" w:hAnsi="Calibri"/>
          <w:sz w:val="20"/>
        </w:rPr>
        <w:t>ISO 9001:2015 cláusulas 7.1.6 (conocimientos de la organización), 8.5.5 (actividades posteriores a la entrega) y 10.2 (no conformidad y acción correctiva)</w:t>
      </w:r>
    </w:p>
    <w:p>
      <w:pPr>
        <w:pStyle w:val="ListBullet"/>
      </w:pPr>
      <w:r>
        <w:rPr>
          <w:rFonts w:ascii="Calibri" w:hAnsi="Calibri"/>
          <w:sz w:val="20"/>
        </w:rPr>
        <w:t>SOL-PROC-001 Proceso Comercial-Ingeniería-Postventa, fase 7.6 (documento origen)</w:t>
      </w:r>
    </w:p>
    <w:p>
      <w:pPr>
        <w:pStyle w:val="ListBullet"/>
      </w:pPr>
      <w:r>
        <w:rPr>
          <w:rFonts w:ascii="Calibri" w:hAnsi="Calibri"/>
          <w:sz w:val="20"/>
        </w:rPr>
        <w:t>FOR-PVM-04 Determinación de Garantía</w:t>
      </w:r>
    </w:p>
    <w:p>
      <w:pPr>
        <w:pStyle w:val="ListBullet"/>
      </w:pPr>
      <w:r>
        <w:rPr>
          <w:rFonts w:ascii="Calibri" w:hAnsi="Calibri"/>
          <w:sz w:val="20"/>
        </w:rPr>
        <w:t>FOR-PVM-01 Ticket de Postventa</w:t>
      </w:r>
    </w:p>
    <w:p>
      <w:pPr>
        <w:pStyle w:val="ListBullet"/>
      </w:pPr>
      <w:r>
        <w:rPr>
          <w:rFonts w:ascii="Calibri" w:hAnsi="Calibri"/>
          <w:sz w:val="20"/>
        </w:rPr>
        <w:t>FOR-PVM-03 Checklist de Servicio</w:t>
      </w:r>
    </w:p>
    <w:p>
      <w:pPr>
        <w:pStyle w:val="ListBullet"/>
      </w:pPr>
      <w:r>
        <w:rPr>
          <w:rFonts w:ascii="Calibri" w:hAnsi="Calibri"/>
          <w:sz w:val="20"/>
        </w:rPr>
        <w:t>FOR-PVM-05 Programa de Mantenimiento Preventivo</w:t>
      </w:r>
    </w:p>
    <w:p>
      <w:pPr>
        <w:pStyle w:val="ListBullet"/>
      </w:pPr>
      <w:r>
        <w:rPr>
          <w:rFonts w:ascii="Calibri" w:hAnsi="Calibri"/>
          <w:sz w:val="20"/>
        </w:rPr>
        <w:t>FOR-ING-05 Encuesta de revisión (cierre técnico de la revisión, por Ingeniería)</w:t>
      </w:r>
    </w:p>
    <w:p>
      <w:pPr>
        <w:keepNext/>
        <w:spacing w:before="24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2"/>
        </w:rPr>
        <w:t>5. RESPONSABILIDADES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5100"/>
        <w:gridCol w:w="5100"/>
      </w:tblGrid>
      <w:tr>
        <w:tc>
          <w:tcPr>
            <w:tcW w:type="dxa" w:w="3060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Responsable</w:t>
            </w:r>
          </w:p>
        </w:tc>
        <w:tc>
          <w:tcPr>
            <w:tcW w:type="dxa" w:w="7140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Funciones</w:t>
            </w:r>
          </w:p>
        </w:tc>
      </w:tr>
      <w:tr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  <w:t>Postventa</w:t>
            </w:r>
          </w:p>
        </w:tc>
        <w:tc>
          <w:tcPr>
            <w:tcW w:type="dxa" w:w="7140"/>
          </w:tcPr>
          <w:p>
            <w:r/>
            <w:r>
              <w:rPr>
                <w:rFonts w:ascii="Calibri" w:hAnsi="Calibri"/>
                <w:b w:val="0"/>
                <w:sz w:val="19"/>
              </w:rPr>
              <w:t>Aplicar el criterio de garantía  ·  Documentar la determinación en FOR-PVM-04</w:t>
            </w:r>
          </w:p>
        </w:tc>
      </w:tr>
      <w:tr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  <w:t>Técnico de servicio</w:t>
            </w:r>
          </w:p>
        </w:tc>
        <w:tc>
          <w:tcPr>
            <w:tcW w:type="dxa" w:w="7140"/>
          </w:tcPr>
          <w:p>
            <w:r/>
            <w:r>
              <w:rPr>
                <w:rFonts w:ascii="Calibri" w:hAnsi="Calibri"/>
                <w:b w:val="0"/>
                <w:sz w:val="19"/>
              </w:rPr>
              <w:t>Sugerir al cliente cómo eliminar fallas recurrentes y mantener el contacto con Postventa</w:t>
            </w:r>
          </w:p>
        </w:tc>
      </w:tr>
      <w:tr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  <w:t>Coordinación de Postventa</w:t>
            </w:r>
          </w:p>
        </w:tc>
        <w:tc>
          <w:tcPr>
            <w:tcW w:type="dxa" w:w="7140"/>
          </w:tcPr>
          <w:p>
            <w:r/>
            <w:r>
              <w:rPr>
                <w:rFonts w:ascii="Calibri" w:hAnsi="Calibri"/>
                <w:b w:val="0"/>
                <w:sz w:val="19"/>
              </w:rPr>
              <w:t>Consolidar las lecciones aprendidas  ·  Reportar las fallas recurrentes a Ingeniería y al proceso  ·  Actualizar el programa preventivo conforme a PRO-PVM-02</w:t>
            </w:r>
          </w:p>
        </w:tc>
      </w:tr>
      <w:tr>
        <w:tc>
          <w:tcPr>
            <w:tcW w:type="dxa" w:w="3060"/>
          </w:tcPr>
          <w:p>
            <w:r/>
            <w:r>
              <w:rPr>
                <w:rFonts w:ascii="Calibri" w:hAnsi="Calibri"/>
                <w:b w:val="0"/>
                <w:sz w:val="19"/>
              </w:rPr>
              <w:t>Ingeniería</w:t>
            </w:r>
          </w:p>
        </w:tc>
        <w:tc>
          <w:tcPr>
            <w:tcW w:type="dxa" w:w="7140"/>
          </w:tcPr>
          <w:p>
            <w:r/>
            <w:r>
              <w:rPr>
                <w:rFonts w:ascii="Calibri" w:hAnsi="Calibri"/>
                <w:b w:val="0"/>
                <w:sz w:val="19"/>
              </w:rPr>
              <w:t>Recibir la retroalimentación y ajustar el diseño o la instalación</w:t>
            </w:r>
          </w:p>
        </w:tc>
      </w:tr>
    </w:tbl>
    <w:p>
      <w:pPr>
        <w:keepNext/>
        <w:spacing w:before="24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2"/>
        </w:rPr>
        <w:t>6. POLÍTICAS Y LINEAMIENTOS</w:t>
      </w:r>
    </w:p>
    <w:p>
      <w:pPr>
        <w:spacing w:after="100"/>
      </w:pPr>
      <w:r>
        <w:rPr>
          <w:b/>
          <w:color w:val="0056B4"/>
          <w:sz w:val="20"/>
        </w:rPr>
        <w:t xml:space="preserve">Criterio documentado. </w:t>
      </w:r>
      <w:r>
        <w:rPr>
          <w:rFonts w:ascii="Calibri" w:hAnsi="Calibri"/>
          <w:sz w:val="20"/>
        </w:rPr>
        <w:t>La procedencia de garantía contra cobro se determina con FOR-PVM-04: cobertura SolarPro de 2 años por instalación y del proveedor de 5 años por equipo.</w:t>
      </w:r>
    </w:p>
    <w:p>
      <w:pPr>
        <w:spacing w:after="100"/>
      </w:pPr>
      <w:r>
        <w:rPr>
          <w:b/>
          <w:color w:val="0056B4"/>
          <w:sz w:val="20"/>
        </w:rPr>
        <w:t xml:space="preserve">Trazabilidad. </w:t>
      </w:r>
      <w:r>
        <w:rPr>
          <w:rFonts w:ascii="Calibri" w:hAnsi="Calibri"/>
          <w:sz w:val="20"/>
        </w:rPr>
        <w:t>Toda determinación de garantía se documenta y se adjunta al ticket (FOR-PVM-01).</w:t>
      </w:r>
    </w:p>
    <w:p>
      <w:pPr>
        <w:spacing w:after="100"/>
      </w:pPr>
      <w:r>
        <w:rPr>
          <w:b/>
          <w:color w:val="0056B4"/>
          <w:sz w:val="20"/>
        </w:rPr>
        <w:t xml:space="preserve">Lecciones aprendidas. </w:t>
      </w:r>
      <w:r>
        <w:rPr>
          <w:rFonts w:ascii="Calibri" w:hAnsi="Calibri"/>
          <w:sz w:val="20"/>
        </w:rPr>
        <w:t>Los hallazgos y las evidencias fotográficas del checklist de servicio (FOR-PVM-03, en Trello) y de las revisiones (FOR-ING-05) se consolidan periódicamente para identificar fallas recurrentes.</w:t>
      </w:r>
    </w:p>
    <w:p>
      <w:pPr>
        <w:spacing w:after="100"/>
      </w:pPr>
      <w:r>
        <w:rPr>
          <w:b/>
          <w:color w:val="0056B4"/>
          <w:sz w:val="20"/>
        </w:rPr>
        <w:t xml:space="preserve">Retroalimentación al proceso. </w:t>
      </w:r>
      <w:r>
        <w:rPr>
          <w:rFonts w:ascii="Calibri" w:hAnsi="Calibri"/>
          <w:sz w:val="20"/>
        </w:rPr>
        <w:t>Las fallas recurrentes se reportan a Ingeniería y al proceso (SOL-PROC-001) para prevenir su recurrencia.</w:t>
      </w:r>
    </w:p>
    <w:p>
      <w:pPr>
        <w:keepNext/>
        <w:spacing w:before="24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2"/>
        </w:rPr>
        <w:t>7. DESARROLLO DEL PROCEDIMIENTO</w:t>
      </w:r>
    </w:p>
    <w:p>
      <w:pPr>
        <w:spacing w:after="80"/>
      </w:pPr>
      <w:r>
        <w:rPr>
          <w:rFonts w:ascii="Calibri" w:hAnsi="Calibri"/>
          <w:color w:val="1C242E"/>
          <w:sz w:val="20"/>
        </w:rPr>
        <w:t>El procedimiento se desarrolla en fases secuenciales. Cada paso identifica al responsable y, cuando aplica, el registro que debe generarse.</w:t>
      </w:r>
    </w:p>
    <w:p>
      <w:pPr>
        <w:spacing w:before="160" w:after="60"/>
      </w:pPr>
      <w:r>
        <w:rPr>
          <w:b/>
          <w:color w:val="1C242E"/>
          <w:sz w:val="21"/>
        </w:rPr>
        <w:t>Fase 1. Determinación de garantía</w:t>
      </w:r>
    </w:p>
    <w:p>
      <w:pPr>
        <w:spacing w:after="60"/>
        <w:ind w:left="340"/>
      </w:pPr>
      <w:r>
        <w:rPr>
          <w:b/>
          <w:sz w:val="20"/>
        </w:rPr>
        <w:t xml:space="preserve">1. Clasificar la cobertura </w:t>
      </w:r>
      <w:r>
        <w:rPr>
          <w:rFonts w:ascii="Calibri" w:hAnsi="Calibri"/>
          <w:sz w:val="20"/>
        </w:rPr>
        <w:t>· Determinar si el caso aplica a garantía SolarPro (2 años, instalación), a garantía del proveedor (5 años, equipo) o a servicio con cobro.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Responsable: </w:t>
      </w:r>
      <w:r>
        <w:rPr>
          <w:rFonts w:ascii="Calibri" w:hAnsi="Calibri"/>
          <w:color w:val="595959"/>
          <w:sz w:val="18"/>
        </w:rPr>
        <w:t>Postventa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Control: </w:t>
      </w:r>
      <w:r>
        <w:rPr>
          <w:rFonts w:ascii="Calibri" w:hAnsi="Calibri"/>
          <w:color w:val="595959"/>
          <w:sz w:val="18"/>
        </w:rPr>
        <w:t>Garantía o servicio con cobro</w:t>
      </w:r>
    </w:p>
    <w:p>
      <w:pPr>
        <w:spacing w:after="60"/>
        <w:ind w:left="340"/>
      </w:pPr>
      <w:r>
        <w:rPr>
          <w:b/>
          <w:sz w:val="20"/>
        </w:rPr>
        <w:t xml:space="preserve">2. Documentar la determinación </w:t>
      </w:r>
      <w:r>
        <w:rPr>
          <w:rFonts w:ascii="Calibri" w:hAnsi="Calibri"/>
          <w:sz w:val="20"/>
        </w:rPr>
        <w:t>· Completar el FOR-PVM-04 y adjuntarlo al ticket (FOR-PVM-01).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Responsable: </w:t>
      </w:r>
      <w:r>
        <w:rPr>
          <w:rFonts w:ascii="Calibri" w:hAnsi="Calibri"/>
          <w:color w:val="595959"/>
          <w:sz w:val="18"/>
        </w:rPr>
        <w:t>Postventa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Registro: </w:t>
      </w:r>
      <w:r>
        <w:rPr>
          <w:rFonts w:ascii="Calibri" w:hAnsi="Calibri"/>
          <w:color w:val="595959"/>
          <w:sz w:val="18"/>
        </w:rPr>
        <w:t>FOR-PVM-04</w:t>
      </w:r>
    </w:p>
    <w:p>
      <w:pPr>
        <w:spacing w:before="160" w:after="60"/>
      </w:pPr>
      <w:r>
        <w:rPr>
          <w:b/>
          <w:color w:val="1C242E"/>
          <w:sz w:val="21"/>
        </w:rPr>
        <w:t>Fase 2. Captura de lecciones aprendidas</w:t>
      </w:r>
    </w:p>
    <w:p>
      <w:pPr>
        <w:spacing w:after="60"/>
        <w:ind w:left="340"/>
      </w:pPr>
      <w:r>
        <w:rPr>
          <w:b/>
          <w:sz w:val="20"/>
        </w:rPr>
        <w:t xml:space="preserve">3. Consolidar hallazgos </w:t>
      </w:r>
      <w:r>
        <w:rPr>
          <w:rFonts w:ascii="Calibri" w:hAnsi="Calibri"/>
          <w:sz w:val="20"/>
        </w:rPr>
        <w:t>· Reunir los hallazgos y las evidencias fotográficas del checklist de servicio (FOR-PVM-03, en Trello) y de las revisiones (FOR-ING-05) e identificar fallas recurrentes.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Responsable: </w:t>
      </w:r>
      <w:r>
        <w:rPr>
          <w:rFonts w:ascii="Calibri" w:hAnsi="Calibri"/>
          <w:color w:val="595959"/>
          <w:sz w:val="18"/>
        </w:rPr>
        <w:t>Coordinación de Postventa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Registro: </w:t>
      </w:r>
      <w:r>
        <w:rPr>
          <w:rFonts w:ascii="Calibri" w:hAnsi="Calibri"/>
          <w:color w:val="595959"/>
          <w:sz w:val="18"/>
        </w:rPr>
        <w:t>Bitácora de fallas recurrentes</w:t>
      </w:r>
    </w:p>
    <w:p>
      <w:pPr>
        <w:spacing w:after="60"/>
        <w:ind w:left="340"/>
      </w:pPr>
      <w:r>
        <w:rPr>
          <w:b/>
          <w:sz w:val="20"/>
        </w:rPr>
        <w:t xml:space="preserve">4. Sugerir al cliente </w:t>
      </w:r>
      <w:r>
        <w:rPr>
          <w:rFonts w:ascii="Calibri" w:hAnsi="Calibri"/>
          <w:sz w:val="20"/>
        </w:rPr>
        <w:t>· Recomendar al cliente cómo eliminar las fallas recurrentes y mantener el contacto con Postventa.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Responsable: </w:t>
      </w:r>
      <w:r>
        <w:rPr>
          <w:rFonts w:ascii="Calibri" w:hAnsi="Calibri"/>
          <w:color w:val="595959"/>
          <w:sz w:val="18"/>
        </w:rPr>
        <w:t>Técnico de servicio</w:t>
      </w:r>
    </w:p>
    <w:p>
      <w:pPr>
        <w:spacing w:before="160" w:after="60"/>
      </w:pPr>
      <w:r>
        <w:rPr>
          <w:b/>
          <w:color w:val="1C242E"/>
          <w:sz w:val="21"/>
        </w:rPr>
        <w:t>Fase 3. Retroalimentación al proceso</w:t>
      </w:r>
    </w:p>
    <w:p>
      <w:pPr>
        <w:spacing w:after="60"/>
        <w:ind w:left="340"/>
      </w:pPr>
      <w:r>
        <w:rPr>
          <w:b/>
          <w:sz w:val="20"/>
        </w:rPr>
        <w:t xml:space="preserve">5. Reportar a Ingeniería y al proceso </w:t>
      </w:r>
      <w:r>
        <w:rPr>
          <w:rFonts w:ascii="Calibri" w:hAnsi="Calibri"/>
          <w:sz w:val="20"/>
        </w:rPr>
        <w:t>· Comunicar las fallas recurrentes a Ingeniería y al proceso (SOL-PROC-001) para su prevención.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Responsable: </w:t>
      </w:r>
      <w:r>
        <w:rPr>
          <w:rFonts w:ascii="Calibri" w:hAnsi="Calibri"/>
          <w:color w:val="595959"/>
          <w:sz w:val="18"/>
        </w:rPr>
        <w:t>Coordinación de Postventa</w:t>
      </w:r>
    </w:p>
    <w:p>
      <w:pPr>
        <w:spacing w:after="60"/>
        <w:ind w:left="340"/>
      </w:pPr>
      <w:r>
        <w:rPr>
          <w:b/>
          <w:sz w:val="20"/>
        </w:rPr>
        <w:t xml:space="preserve">6. Actualizar el programa preventivo </w:t>
      </w:r>
      <w:r>
        <w:rPr>
          <w:rFonts w:ascii="Calibri" w:hAnsi="Calibri"/>
          <w:sz w:val="20"/>
        </w:rPr>
        <w:t>· Ajustar el programa de mantenimiento (FOR-PVM-05) conforme a PRO-PVM-02 y las recomendaciones preventivas según las lecciones aprendidas.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Responsable: </w:t>
      </w:r>
      <w:r>
        <w:rPr>
          <w:rFonts w:ascii="Calibri" w:hAnsi="Calibri"/>
          <w:color w:val="595959"/>
          <w:sz w:val="18"/>
        </w:rPr>
        <w:t>Coordinación de Postventa</w:t>
      </w:r>
    </w:p>
    <w:p>
      <w:pPr>
        <w:spacing w:after="20"/>
        <w:ind w:left="680"/>
      </w:pPr>
      <w:r>
        <w:rPr>
          <w:b/>
          <w:color w:val="595959"/>
          <w:sz w:val="18"/>
        </w:rPr>
        <w:t xml:space="preserve">Registro: </w:t>
      </w:r>
      <w:r>
        <w:rPr>
          <w:rFonts w:ascii="Calibri" w:hAnsi="Calibri"/>
          <w:color w:val="595959"/>
          <w:sz w:val="18"/>
        </w:rPr>
        <w:t>FOR-PVM-05 actualizado</w:t>
      </w:r>
    </w:p>
    <w:p>
      <w:pPr>
        <w:keepNext/>
        <w:spacing w:before="24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2"/>
        </w:rPr>
        <w:t>8. DIAGRAMA DE FLUJO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479922" cy="684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-pvm-05-garantias-leccione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79922" cy="68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595959"/>
          <w:sz w:val="17"/>
        </w:rPr>
        <w:t>De la determinación de garantía a la retroalimentación al proceso y a Ingeniería.</w:t>
      </w:r>
    </w:p>
    <w:p>
      <w:pPr>
        <w:keepNext/>
        <w:spacing w:before="24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2"/>
        </w:rPr>
        <w:t>9. REGISTROS Y FORMATOS ASOCIADOS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5100"/>
        <w:gridCol w:w="5100"/>
      </w:tblGrid>
      <w:tr>
        <w:tc>
          <w:tcPr>
            <w:tcW w:type="dxa" w:w="285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Código</w:t>
            </w:r>
          </w:p>
        </w:tc>
        <w:tc>
          <w:tcPr>
            <w:tcW w:type="dxa" w:w="734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Formato</w:t>
            </w:r>
          </w:p>
        </w:tc>
      </w:tr>
      <w:tr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  <w:t>FOR-PVM-04</w:t>
            </w:r>
          </w:p>
        </w:tc>
        <w:tc>
          <w:tcPr>
            <w:tcW w:type="dxa" w:w="7344"/>
          </w:tcPr>
          <w:p>
            <w:r/>
            <w:r>
              <w:rPr>
                <w:rFonts w:ascii="Calibri" w:hAnsi="Calibri"/>
                <w:b w:val="0"/>
                <w:sz w:val="19"/>
              </w:rPr>
              <w:t>Determinación de Garantía</w:t>
            </w:r>
          </w:p>
        </w:tc>
      </w:tr>
      <w:tr>
        <w:tc>
          <w:tcPr>
            <w:tcW w:type="dxa" w:w="2856"/>
          </w:tcPr>
          <w:p>
            <w:r/>
            <w:r>
              <w:rPr>
                <w:rFonts w:ascii="Calibri" w:hAnsi="Calibri"/>
                <w:b w:val="0"/>
                <w:sz w:val="19"/>
              </w:rPr>
              <w:t>Bitácora de fallas recurrentes</w:t>
            </w:r>
          </w:p>
        </w:tc>
        <w:tc>
          <w:tcPr>
            <w:tcW w:type="dxa" w:w="7344"/>
          </w:tcPr>
          <w:p>
            <w:r/>
            <w:r>
              <w:rPr>
                <w:rFonts w:ascii="Calibri" w:hAnsi="Calibri"/>
                <w:b w:val="0"/>
                <w:sz w:val="19"/>
              </w:rPr>
              <w:t>Registro interno de lecciones aprendidas</w:t>
            </w:r>
          </w:p>
        </w:tc>
      </w:tr>
    </w:tbl>
    <w:p>
      <w:pPr>
        <w:keepNext/>
        <w:spacing w:before="24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2"/>
        </w:rPr>
        <w:t>10. CONTROL DE CAMBIOS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2550"/>
        <w:gridCol w:w="2550"/>
        <w:gridCol w:w="2550"/>
        <w:gridCol w:w="2550"/>
      </w:tblGrid>
      <w:tr>
        <w:tc>
          <w:tcPr>
            <w:tcW w:type="dxa" w:w="122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Versión</w:t>
            </w:r>
          </w:p>
        </w:tc>
        <w:tc>
          <w:tcPr>
            <w:tcW w:type="dxa" w:w="1632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Fecha</w:t>
            </w:r>
          </w:p>
        </w:tc>
        <w:tc>
          <w:tcPr>
            <w:tcW w:type="dxa" w:w="5712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Descripción del cambio</w:t>
            </w:r>
          </w:p>
        </w:tc>
        <w:tc>
          <w:tcPr>
            <w:tcW w:type="dxa" w:w="1632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Elaboró</w:t>
            </w:r>
          </w:p>
        </w:tc>
      </w:tr>
      <w:tr>
        <w:tc>
          <w:tcPr>
            <w:tcW w:type="dxa" w:w="1224"/>
          </w:tcPr>
          <w:p>
            <w:r/>
            <w:r>
              <w:rPr>
                <w:rFonts w:ascii="Calibri" w:hAnsi="Calibri"/>
                <w:b w:val="0"/>
                <w:sz w:val="19"/>
              </w:rPr>
              <w:t>1.0</w:t>
            </w:r>
          </w:p>
        </w:tc>
        <w:tc>
          <w:tcPr>
            <w:tcW w:type="dxa" w:w="1632"/>
          </w:tcPr>
          <w:p>
            <w:r/>
            <w:r>
              <w:rPr>
                <w:rFonts w:ascii="Calibri" w:hAnsi="Calibri"/>
                <w:b w:val="0"/>
                <w:sz w:val="19"/>
              </w:rPr>
              <w:t>Septiembre 2026</w:t>
            </w:r>
          </w:p>
        </w:tc>
        <w:tc>
          <w:tcPr>
            <w:tcW w:type="dxa" w:w="5712"/>
          </w:tcPr>
          <w:p>
            <w:r/>
            <w:r>
              <w:rPr>
                <w:rFonts w:ascii="Calibri" w:hAnsi="Calibri"/>
                <w:b w:val="0"/>
                <w:sz w:val="19"/>
              </w:rPr>
              <w:t>Emisión inicial. Formaliza el criterio de garantía y el ciclo de lecciones aprendidas de Postventa. Revisión trimestral.</w:t>
            </w:r>
          </w:p>
        </w:tc>
        <w:tc>
          <w:tcPr>
            <w:tcW w:type="dxa" w:w="1632"/>
          </w:tcPr>
          <w:p>
            <w:r/>
            <w:r>
              <w:rPr>
                <w:rFonts w:ascii="Calibri" w:hAnsi="Calibri"/>
                <w:b w:val="0"/>
                <w:sz w:val="19"/>
              </w:rPr>
              <w:t>DETA Consultores</w:t>
            </w:r>
          </w:p>
        </w:tc>
      </w:tr>
    </w:tbl>
    <w:p>
      <w:pPr>
        <w:keepNext/>
        <w:spacing w:before="24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2"/>
        </w:rPr>
        <w:t>11. CONTROL DE FIRMAS</w:t>
      </w:r>
    </w:p>
    <w:p>
      <w:pPr>
        <w:spacing w:after="120"/>
      </w:pPr>
    </w:p>
    <w:p>
      <w:pPr>
        <w:keepNext/>
        <w:spacing w:after="3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3400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3400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</w:tr>
      <w:tr>
        <w:tc>
          <w:tcPr>
            <w:tcW w:type="dxa" w:w="340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Elaboró</w:t>
              <w:br/>
              <w:t>DETA Consultores</w:t>
            </w:r>
          </w:p>
        </w:tc>
        <w:tc>
          <w:tcPr>
            <w:tcW w:type="dxa" w:w="340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Revisó</w:t>
              <w:br/>
              <w:t>Coordinación de Postventa</w:t>
            </w:r>
          </w:p>
        </w:tc>
        <w:tc>
          <w:tcPr>
            <w:tcW w:type="dxa" w:w="340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Aprobó</w:t>
              <w:br/>
              <w:t>Dirección General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Calibri" w:hAnsi="Calibri"/>
        <w:color w:val="595959"/>
        <w:sz w:val="15"/>
      </w:rPr>
      <w:t>SolarPro · Procedimiento de Postventa · PRO-PVM-05 V1.0</w:t>
    </w:r>
    <w:r>
      <w:tab/>
      <w:tab/>
    </w:r>
    <w:r>
      <w:rPr>
        <w:rFonts w:ascii="Calibri" w:hAnsi="Calibri"/>
        <w:color w:val="595959"/>
        <w:sz w:val="15"/>
      </w:rPr>
      <w:t>Elaboró DETA Consultores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