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340000" cy="768857"/>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2340000" cy="768857"/>
                    </a:xfrm>
                    <a:prstGeom prst="rect"/>
                  </pic:spPr>
                </pic:pic>
              </a:graphicData>
            </a:graphic>
          </wp:inline>
        </w:drawing>
      </w:r>
    </w:p>
    <w:p>
      <w:pPr>
        <w:spacing w:before="800"/>
        <w:jc w:val="center"/>
      </w:pPr>
      <w:r>
        <w:rPr>
          <w:rFonts w:ascii="Calibri" w:hAnsi="Calibri"/>
          <w:b/>
          <w:color w:val="595959"/>
          <w:sz w:val="22"/>
        </w:rPr>
        <w:t>SISTEMA DE GESTIÓN DE CALIDAD ISO 9001:2015</w:t>
      </w:r>
    </w:p>
    <w:p>
      <w:pPr>
        <w:spacing w:before="120" w:after="40"/>
        <w:jc w:val="center"/>
      </w:pPr>
      <w:r>
        <w:rPr>
          <w:rFonts w:ascii="Georgia" w:hAnsi="Georgia"/>
          <w:b/>
          <w:color w:val="0056B4"/>
          <w:sz w:val="60"/>
        </w:rPr>
        <w:t>Gerente Comercial</w:t>
      </w:r>
    </w:p>
    <w:p>
      <w:pPr>
        <w:jc w:val="center"/>
      </w:pPr>
      <w:r>
        <w:rPr>
          <w:color w:val="F0E528"/>
          <w:sz w:val="24"/>
        </w:rPr>
        <w:t>________</w:t>
      </w:r>
    </w:p>
    <w:p>
      <w:pPr>
        <w:jc w:val="center"/>
      </w:pPr>
      <w:r>
        <w:rPr>
          <w:rFonts w:ascii="Georgia" w:hAnsi="Georgia"/>
          <w:i/>
          <w:color w:val="595959"/>
          <w:sz w:val="26"/>
        </w:rPr>
        <w:t>Perfil de Puesto · Documento Controlado</w:t>
      </w:r>
    </w:p>
    <w:p>
      <w:pPr>
        <w:spacing w:before="600"/>
        <w:jc w:val="center"/>
      </w:pPr>
      <w:r>
        <w:rPr>
          <w:b/>
          <w:color w:val="1C242E"/>
          <w:sz w:val="22"/>
        </w:rPr>
        <w:t>SOLUCIONES ENERGETICAS JEA, S.A. DE C.V.</w:t>
      </w:r>
    </w:p>
    <w:p>
      <w:pPr>
        <w:jc w:val="center"/>
      </w:pPr>
      <w:r>
        <w:rPr>
          <w:color w:val="595959"/>
          <w:sz w:val="20"/>
        </w:rPr>
        <w:t>PER-GCO  ·  Versión 1  ·  08-09-2026</w:t>
      </w:r>
    </w:p>
    <w:p>
      <w:pPr>
        <w:spacing w:before="120"/>
        <w:jc w:val="center"/>
      </w:pPr>
      <w:r>
        <w:rPr>
          <w:color w:val="595959"/>
          <w:sz w:val="18"/>
        </w:rPr>
        <w:t>Elaboró DETA Consultores</w:t>
      </w:r>
    </w:p>
    <w:p>
      <w:pPr>
        <w:jc w:val="center"/>
      </w:pPr>
      <w:r>
        <w:rPr>
          <w:i/>
          <w:color w:val="595959"/>
          <w:sz w:val="18"/>
        </w:rPr>
        <w:t>Borrador para validación</w:t>
      </w:r>
    </w:p>
    <w:p>
      <w:r>
        <w:br w:type="page"/>
      </w:r>
    </w:p>
    <w:p>
      <w:pPr>
        <w:keepNext/>
        <w:spacing w:before="280" w:after="80"/>
        <w:pBdr>
          <w:bottom w:val="single" w:sz="8" w:color="F0E528"/>
        </w:pBdr>
      </w:pPr>
      <w:r>
        <w:rPr>
          <w:rFonts w:ascii="Georgia" w:hAnsi="Georgia"/>
          <w:b/>
          <w:color w:val="0056B4"/>
          <w:sz w:val="26"/>
        </w:rPr>
        <w:t>CONTROL DEL DOCUMENTO</w:t>
      </w:r>
    </w:p>
    <w:tbl>
      <w:tblPr>
        <w:tblW w:type="auto" w:w="0"/>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4986"/>
        <w:gridCol w:w="4986"/>
      </w:tblGrid>
      <w:tr>
        <w:tc>
          <w:tcPr>
            <w:tcW w:type="dxa" w:w="3191"/>
            <w:shd w:val="clear" w:fill="F2F2F2"/>
          </w:tcPr>
          <w:p>
            <w:r/>
            <w:r>
              <w:rPr>
                <w:rFonts w:ascii="Calibri" w:hAnsi="Calibri"/>
                <w:b/>
                <w:sz w:val="18"/>
              </w:rPr>
              <w:t>Código</w:t>
            </w:r>
          </w:p>
        </w:tc>
        <w:tc>
          <w:tcPr>
            <w:tcW w:type="dxa" w:w="6781"/>
          </w:tcPr>
          <w:p>
            <w:r/>
            <w:r>
              <w:rPr>
                <w:rFonts w:ascii="Calibri" w:hAnsi="Calibri"/>
                <w:b w:val="0"/>
                <w:sz w:val="18"/>
              </w:rPr>
              <w:t>PER-GCO</w:t>
            </w:r>
          </w:p>
        </w:tc>
      </w:tr>
      <w:tr>
        <w:tc>
          <w:tcPr>
            <w:tcW w:type="dxa" w:w="3191"/>
            <w:shd w:val="clear" w:fill="F2F2F2"/>
          </w:tcPr>
          <w:p>
            <w:r/>
            <w:r>
              <w:rPr>
                <w:rFonts w:ascii="Calibri" w:hAnsi="Calibri"/>
                <w:b/>
                <w:sz w:val="18"/>
              </w:rPr>
              <w:t>Versión</w:t>
            </w:r>
          </w:p>
        </w:tc>
        <w:tc>
          <w:tcPr>
            <w:tcW w:type="dxa" w:w="6781"/>
          </w:tcPr>
          <w:p>
            <w:r/>
            <w:r>
              <w:rPr>
                <w:rFonts w:ascii="Calibri" w:hAnsi="Calibri"/>
                <w:b w:val="0"/>
                <w:sz w:val="18"/>
              </w:rPr>
              <w:t>1</w:t>
            </w:r>
          </w:p>
        </w:tc>
      </w:tr>
      <w:tr>
        <w:tc>
          <w:tcPr>
            <w:tcW w:type="dxa" w:w="3191"/>
            <w:shd w:val="clear" w:fill="F2F2F2"/>
          </w:tcPr>
          <w:p>
            <w:r/>
            <w:r>
              <w:rPr>
                <w:rFonts w:ascii="Calibri" w:hAnsi="Calibri"/>
                <w:b/>
                <w:sz w:val="18"/>
              </w:rPr>
              <w:t>Estado</w:t>
            </w:r>
          </w:p>
        </w:tc>
        <w:tc>
          <w:tcPr>
            <w:tcW w:type="dxa" w:w="6781"/>
          </w:tcPr>
          <w:p>
            <w:r/>
            <w:r>
              <w:rPr>
                <w:rFonts w:ascii="Calibri" w:hAnsi="Calibri"/>
                <w:b w:val="0"/>
                <w:sz w:val="18"/>
              </w:rPr>
              <w:t>Borrador para validación</w:t>
            </w:r>
          </w:p>
        </w:tc>
      </w:tr>
      <w:tr>
        <w:tc>
          <w:tcPr>
            <w:tcW w:type="dxa" w:w="3191"/>
            <w:shd w:val="clear" w:fill="F2F2F2"/>
          </w:tcPr>
          <w:p>
            <w:r/>
            <w:r>
              <w:rPr>
                <w:rFonts w:ascii="Calibri" w:hAnsi="Calibri"/>
                <w:b/>
                <w:sz w:val="18"/>
              </w:rPr>
              <w:t>Fecha de emisión</w:t>
            </w:r>
          </w:p>
        </w:tc>
        <w:tc>
          <w:tcPr>
            <w:tcW w:type="dxa" w:w="6781"/>
          </w:tcPr>
          <w:p>
            <w:r/>
            <w:r>
              <w:rPr>
                <w:rFonts w:ascii="Calibri" w:hAnsi="Calibri"/>
                <w:b w:val="0"/>
                <w:sz w:val="18"/>
              </w:rPr>
              <w:t>08-09-2026</w:t>
            </w:r>
          </w:p>
        </w:tc>
      </w:tr>
      <w:tr>
        <w:tc>
          <w:tcPr>
            <w:tcW w:type="dxa" w:w="3191"/>
            <w:shd w:val="clear" w:fill="F2F2F2"/>
          </w:tcPr>
          <w:p>
            <w:r/>
            <w:r>
              <w:rPr>
                <w:rFonts w:ascii="Calibri" w:hAnsi="Calibri"/>
                <w:b/>
                <w:sz w:val="18"/>
              </w:rPr>
              <w:t>Fecha de revisión</w:t>
            </w:r>
          </w:p>
        </w:tc>
        <w:tc>
          <w:tcPr>
            <w:tcW w:type="dxa" w:w="6781"/>
          </w:tcPr>
          <w:p>
            <w:r/>
            <w:r>
              <w:rPr>
                <w:rFonts w:ascii="Calibri" w:hAnsi="Calibri"/>
                <w:b w:val="0"/>
                <w:sz w:val="18"/>
              </w:rPr>
            </w:r>
          </w:p>
        </w:tc>
      </w:tr>
      <w:tr>
        <w:tc>
          <w:tcPr>
            <w:tcW w:type="dxa" w:w="3191"/>
            <w:shd w:val="clear" w:fill="F2F2F2"/>
          </w:tcPr>
          <w:p>
            <w:r/>
            <w:r>
              <w:rPr>
                <w:rFonts w:ascii="Calibri" w:hAnsi="Calibri"/>
                <w:b/>
                <w:sz w:val="18"/>
              </w:rPr>
              <w:t>Custodio del documento</w:t>
            </w:r>
          </w:p>
        </w:tc>
        <w:tc>
          <w:tcPr>
            <w:tcW w:type="dxa" w:w="6781"/>
          </w:tcPr>
          <w:p>
            <w:r/>
            <w:r>
              <w:rPr>
                <w:rFonts w:ascii="Calibri" w:hAnsi="Calibri"/>
                <w:b w:val="0"/>
                <w:sz w:val="18"/>
              </w:rPr>
              <w:t>Gerencia Administrativa (SGC)</w:t>
            </w:r>
          </w:p>
        </w:tc>
      </w:tr>
      <w:tr>
        <w:tc>
          <w:tcPr>
            <w:tcW w:type="dxa" w:w="3191"/>
            <w:shd w:val="clear" w:fill="F2F2F2"/>
          </w:tcPr>
          <w:p>
            <w:r/>
            <w:r>
              <w:rPr>
                <w:rFonts w:ascii="Calibri" w:hAnsi="Calibri"/>
                <w:b/>
                <w:sz w:val="18"/>
              </w:rPr>
              <w:t>Elabora</w:t>
            </w:r>
          </w:p>
        </w:tc>
        <w:tc>
          <w:tcPr>
            <w:tcW w:type="dxa" w:w="6781"/>
          </w:tcPr>
          <w:p>
            <w:r/>
            <w:r>
              <w:rPr>
                <w:rFonts w:ascii="Calibri" w:hAnsi="Calibri"/>
                <w:b w:val="0"/>
                <w:sz w:val="18"/>
              </w:rPr>
              <w:t>DETA Consultores</w:t>
            </w:r>
          </w:p>
        </w:tc>
      </w:tr>
      <w:tr>
        <w:tc>
          <w:tcPr>
            <w:tcW w:type="dxa" w:w="3191"/>
            <w:shd w:val="clear" w:fill="F2F2F2"/>
          </w:tcPr>
          <w:p>
            <w:r/>
            <w:r>
              <w:rPr>
                <w:rFonts w:ascii="Calibri" w:hAnsi="Calibri"/>
                <w:b/>
                <w:sz w:val="18"/>
              </w:rPr>
              <w:t>Revisa</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Aprueba</w:t>
            </w:r>
          </w:p>
        </w:tc>
        <w:tc>
          <w:tcPr>
            <w:tcW w:type="dxa" w:w="6781"/>
          </w:tcPr>
          <w:p>
            <w:r/>
            <w:r>
              <w:rPr>
                <w:rFonts w:ascii="Calibri" w:hAnsi="Calibri"/>
                <w:b w:val="0"/>
                <w:sz w:val="18"/>
              </w:rPr>
              <w:t>Dirección General</w:t>
            </w:r>
          </w:p>
        </w:tc>
      </w:tr>
      <w:tr>
        <w:tc>
          <w:tcPr>
            <w:tcW w:type="dxa" w:w="3191"/>
            <w:shd w:val="clear" w:fill="F2F2F2"/>
          </w:tcPr>
          <w:p>
            <w:r/>
            <w:r>
              <w:rPr>
                <w:rFonts w:ascii="Calibri" w:hAnsi="Calibri"/>
                <w:b/>
                <w:sz w:val="18"/>
              </w:rPr>
              <w:t>Clasificación</w:t>
            </w:r>
          </w:p>
        </w:tc>
        <w:tc>
          <w:tcPr>
            <w:tcW w:type="dxa" w:w="6781"/>
          </w:tcPr>
          <w:p>
            <w:r/>
            <w:r>
              <w:rPr>
                <w:rFonts w:ascii="Calibri" w:hAnsi="Calibri"/>
                <w:b w:val="0"/>
                <w:sz w:val="18"/>
              </w:rPr>
              <w:t>Confidencial</w:t>
            </w:r>
          </w:p>
        </w:tc>
      </w:tr>
      <w:tr>
        <w:tc>
          <w:tcPr>
            <w:tcW w:type="dxa" w:w="3191"/>
            <w:shd w:val="clear" w:fill="F2F2F2"/>
          </w:tcPr>
          <w:p>
            <w:r/>
            <w:r>
              <w:rPr>
                <w:rFonts w:ascii="Calibri" w:hAnsi="Calibri"/>
                <w:b/>
                <w:sz w:val="18"/>
              </w:rPr>
              <w:t>Razón social</w:t>
            </w:r>
          </w:p>
        </w:tc>
        <w:tc>
          <w:tcPr>
            <w:tcW w:type="dxa" w:w="6781"/>
          </w:tcPr>
          <w:p>
            <w:r/>
            <w:r>
              <w:rPr>
                <w:rFonts w:ascii="Calibri" w:hAnsi="Calibri"/>
                <w:b w:val="0"/>
                <w:sz w:val="18"/>
              </w:rPr>
              <w:t>SOLUCIONES ENERGETICAS JEA, S.A. DE C.V.</w:t>
            </w:r>
          </w:p>
        </w:tc>
      </w:tr>
      <w:tr>
        <w:tc>
          <w:tcPr>
            <w:tcW w:type="dxa" w:w="3191"/>
            <w:shd w:val="clear" w:fill="F2F2F2"/>
          </w:tcPr>
          <w:p>
            <w:r/>
            <w:r>
              <w:rPr>
                <w:rFonts w:ascii="Calibri" w:hAnsi="Calibri"/>
                <w:b/>
                <w:sz w:val="18"/>
              </w:rPr>
              <w:t>RFC</w:t>
            </w:r>
          </w:p>
        </w:tc>
        <w:tc>
          <w:tcPr>
            <w:tcW w:type="dxa" w:w="6781"/>
          </w:tcPr>
          <w:p>
            <w:r/>
            <w:r>
              <w:rPr>
                <w:rFonts w:ascii="Calibri" w:hAnsi="Calibri"/>
                <w:b w:val="0"/>
                <w:sz w:val="18"/>
              </w:rPr>
              <w:t>SEJ151105UV7</w:t>
            </w:r>
          </w:p>
        </w:tc>
      </w:tr>
      <w:tr>
        <w:tc>
          <w:tcPr>
            <w:tcW w:type="dxa" w:w="3191"/>
            <w:shd w:val="clear" w:fill="F2F2F2"/>
          </w:tcPr>
          <w:p>
            <w:r/>
            <w:r>
              <w:rPr>
                <w:rFonts w:ascii="Calibri" w:hAnsi="Calibri"/>
                <w:b/>
                <w:sz w:val="18"/>
              </w:rPr>
              <w:t>Sitios cubiertos</w:t>
            </w:r>
          </w:p>
        </w:tc>
        <w:tc>
          <w:tcPr>
            <w:tcW w:type="dxa" w:w="6781"/>
          </w:tcPr>
          <w:p>
            <w:r/>
            <w:r>
              <w:rPr>
                <w:rFonts w:ascii="Calibri" w:hAnsi="Calibri"/>
                <w:b w:val="0"/>
                <w:sz w:val="18"/>
              </w:rPr>
              <w:t>SolarPro Chihuahua</w:t>
            </w:r>
          </w:p>
        </w:tc>
      </w:tr>
    </w:tbl>
    <w:p>
      <w:pPr>
        <w:keepNext/>
        <w:spacing w:before="280" w:after="80"/>
        <w:pBdr>
          <w:bottom w:val="single" w:sz="8" w:color="F0E528"/>
        </w:pBdr>
      </w:pPr>
      <w:r>
        <w:rPr>
          <w:rFonts w:ascii="Georgia" w:hAnsi="Georgia"/>
          <w:b/>
          <w:color w:val="0056B4"/>
          <w:sz w:val="26"/>
        </w:rPr>
        <w:t>HISTORIAL DE REVISIONES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1197"/>
            <w:shd w:val="clear" w:fill="0056B4"/>
          </w:tcPr>
          <w:p>
            <w:pPr>
              <w:jc w:val="center"/>
            </w:pPr>
            <w:r/>
            <w:r>
              <w:rPr>
                <w:rFonts w:ascii="Calibri" w:hAnsi="Calibri"/>
                <w:b/>
                <w:color w:val="FFFFFF"/>
                <w:sz w:val="17"/>
              </w:rPr>
              <w:t>Versión</w:t>
            </w:r>
          </w:p>
        </w:tc>
        <w:tc>
          <w:tcPr>
            <w:tcW w:type="dxa" w:w="1596"/>
            <w:shd w:val="clear" w:fill="0056B4"/>
          </w:tcPr>
          <w:p>
            <w:pPr>
              <w:jc w:val="center"/>
            </w:pPr>
            <w:r/>
            <w:r>
              <w:rPr>
                <w:rFonts w:ascii="Calibri" w:hAnsi="Calibri"/>
                <w:b/>
                <w:color w:val="FFFFFF"/>
                <w:sz w:val="17"/>
              </w:rPr>
              <w:t>Fecha</w:t>
            </w:r>
          </w:p>
        </w:tc>
        <w:tc>
          <w:tcPr>
            <w:tcW w:type="dxa" w:w="5584"/>
            <w:shd w:val="clear" w:fill="0056B4"/>
          </w:tcPr>
          <w:p>
            <w:pPr>
              <w:jc w:val="center"/>
            </w:pPr>
            <w:r/>
            <w:r>
              <w:rPr>
                <w:rFonts w:ascii="Calibri" w:hAnsi="Calibri"/>
                <w:b/>
                <w:color w:val="FFFFFF"/>
                <w:sz w:val="17"/>
              </w:rPr>
              <w:t>Descripción del cambio</w:t>
            </w:r>
          </w:p>
        </w:tc>
        <w:tc>
          <w:tcPr>
            <w:tcW w:type="dxa" w:w="1596"/>
            <w:shd w:val="clear" w:fill="0056B4"/>
          </w:tcPr>
          <w:p>
            <w:pPr>
              <w:jc w:val="center"/>
            </w:pPr>
            <w:r/>
            <w:r>
              <w:rPr>
                <w:rFonts w:ascii="Calibri" w:hAnsi="Calibri"/>
                <w:b/>
                <w:color w:val="FFFFFF"/>
                <w:sz w:val="17"/>
              </w:rPr>
              <w:t>Elaboró</w:t>
            </w:r>
          </w:p>
        </w:tc>
      </w:tr>
      <w:tr>
        <w:tc>
          <w:tcPr>
            <w:tcW w:type="dxa" w:w="1197"/>
          </w:tcPr>
          <w:p>
            <w:r/>
            <w:r>
              <w:rPr>
                <w:rFonts w:ascii="Calibri" w:hAnsi="Calibri"/>
                <w:b w:val="0"/>
                <w:sz w:val="19"/>
              </w:rPr>
              <w:t>1</w:t>
            </w:r>
          </w:p>
        </w:tc>
        <w:tc>
          <w:tcPr>
            <w:tcW w:type="dxa" w:w="1596"/>
          </w:tcPr>
          <w:p>
            <w:r/>
            <w:r>
              <w:rPr>
                <w:rFonts w:ascii="Calibri" w:hAnsi="Calibri"/>
                <w:b w:val="0"/>
                <w:sz w:val="19"/>
              </w:rPr>
              <w:t>08-09-2026</w:t>
            </w:r>
          </w:p>
        </w:tc>
        <w:tc>
          <w:tcPr>
            <w:tcW w:type="dxa" w:w="5584"/>
          </w:tcPr>
          <w:p>
            <w:r/>
            <w:r>
              <w:rPr>
                <w:rFonts w:ascii="Calibri" w:hAnsi="Calibri"/>
                <w:b w:val="0"/>
                <w:sz w:val="19"/>
              </w:rPr>
              <w:t>Emisión inicial. Migración del perfil editorial a documento controlado ISO 9001:2015; se agregan Responsabilidades del SGC del puesto e Indicadores del puesto (KPIs).</w:t>
            </w:r>
          </w:p>
        </w:tc>
        <w:tc>
          <w:tcPr>
            <w:tcW w:type="dxa" w:w="1596"/>
          </w:tcPr>
          <w:p>
            <w:r/>
            <w:r>
              <w:rPr>
                <w:rFonts w:ascii="Calibri" w:hAnsi="Calibri"/>
                <w:b w:val="0"/>
                <w:sz w:val="19"/>
              </w:rPr>
              <w:t>DETA Consultores</w:t>
            </w:r>
          </w:p>
        </w:tc>
      </w:tr>
    </w:tbl>
    <w:p>
      <w:r>
        <w:br w:type="page"/>
      </w:r>
    </w:p>
    <w:p>
      <w:pPr>
        <w:keepNext/>
        <w:spacing w:before="280" w:after="80"/>
        <w:pBdr>
          <w:bottom w:val="single" w:sz="8" w:color="F0E528"/>
        </w:pBdr>
      </w:pPr>
      <w:r>
        <w:rPr>
          <w:rFonts w:ascii="Georgia" w:hAnsi="Georgia"/>
          <w:b/>
          <w:color w:val="0056B4"/>
          <w:sz w:val="26"/>
        </w:rPr>
        <w:t>CONTENIDO</w:t>
      </w:r>
    </w:p>
    <w:p>
      <w:pPr>
        <w:spacing w:after="40"/>
      </w:pPr>
      <w:r>
        <w:rPr>
          <w:rFonts w:ascii="Calibri" w:hAnsi="Calibri"/>
          <w:color w:val="1C242E"/>
          <w:sz w:val="20"/>
        </w:rPr>
        <w:t>01. Objetivo del puesto</w:t>
      </w:r>
    </w:p>
    <w:p>
      <w:pPr>
        <w:spacing w:after="40"/>
      </w:pPr>
      <w:r>
        <w:rPr>
          <w:rFonts w:ascii="Calibri" w:hAnsi="Calibri"/>
          <w:color w:val="1C242E"/>
          <w:sz w:val="20"/>
        </w:rPr>
        <w:t>02. Áreas de efectividad</w:t>
      </w:r>
    </w:p>
    <w:p>
      <w:pPr>
        <w:spacing w:after="40"/>
      </w:pPr>
      <w:r>
        <w:rPr>
          <w:rFonts w:ascii="Calibri" w:hAnsi="Calibri"/>
          <w:color w:val="1C242E"/>
          <w:sz w:val="20"/>
        </w:rPr>
        <w:t>03. Responsabilidades del SGC del puesto</w:t>
      </w:r>
    </w:p>
    <w:p>
      <w:pPr>
        <w:spacing w:after="40"/>
      </w:pPr>
      <w:r>
        <w:rPr>
          <w:rFonts w:ascii="Calibri" w:hAnsi="Calibri"/>
          <w:color w:val="1C242E"/>
          <w:sz w:val="20"/>
        </w:rPr>
        <w:t>04. Competencias</w:t>
      </w:r>
    </w:p>
    <w:p>
      <w:pPr>
        <w:spacing w:after="40"/>
      </w:pPr>
      <w:r>
        <w:rPr>
          <w:rFonts w:ascii="Calibri" w:hAnsi="Calibri"/>
          <w:color w:val="1C242E"/>
          <w:sz w:val="20"/>
        </w:rPr>
        <w:t>05. Requisitos del puesto</w:t>
      </w:r>
    </w:p>
    <w:p>
      <w:pPr>
        <w:spacing w:after="40"/>
      </w:pPr>
      <w:r>
        <w:rPr>
          <w:rFonts w:ascii="Calibri" w:hAnsi="Calibri"/>
          <w:color w:val="1C242E"/>
          <w:sz w:val="20"/>
        </w:rPr>
        <w:t>06. Indicadores del puesto (KPIs)</w:t>
      </w:r>
    </w:p>
    <w:p>
      <w:pPr>
        <w:spacing w:after="40"/>
      </w:pPr>
      <w:r>
        <w:rPr>
          <w:rFonts w:ascii="Calibri" w:hAnsi="Calibri"/>
          <w:color w:val="1C242E"/>
          <w:sz w:val="20"/>
        </w:rPr>
        <w:t>07. Relaciones y línea de reporte</w:t>
      </w:r>
    </w:p>
    <w:p>
      <w:r>
        <w:br w:type="page"/>
      </w:r>
    </w:p>
    <w:p>
      <w:pPr>
        <w:keepNext/>
        <w:spacing w:before="280" w:after="80"/>
        <w:pBdr>
          <w:bottom w:val="single" w:sz="8" w:color="F0E528"/>
        </w:pBdr>
      </w:pPr>
      <w:r>
        <w:rPr>
          <w:rFonts w:ascii="Georgia" w:hAnsi="Georgia"/>
          <w:b/>
          <w:color w:val="0056B4"/>
          <w:sz w:val="26"/>
        </w:rPr>
        <w:t>01. Objetivo del puesto</w:t>
      </w:r>
    </w:p>
    <w:p>
      <w:pPr>
        <w:keepNext/>
        <w:spacing w:before="200" w:after="60"/>
      </w:pPr>
      <w:r>
        <w:rPr>
          <w:rFonts w:ascii="Georgia" w:hAnsi="Georgia"/>
          <w:b/>
          <w:color w:val="1C242E"/>
          <w:sz w:val="22"/>
        </w:rPr>
        <w:t>Propósito central</w:t>
      </w:r>
    </w:p>
    <w:p>
      <w:pPr>
        <w:spacing w:after="120"/>
      </w:pPr>
      <w:r>
        <w:rPr>
          <w:rFonts w:ascii="Calibri" w:hAnsi="Calibri"/>
          <w:color w:val="1C242E"/>
          <w:sz w:val="21"/>
        </w:rPr>
        <w:t>Impulsar el crecimiento de ingresos y la rentabilidad por canal mediante la gestión del embudo, el gobierno de ofertas y la coordinación interáreas, asegurando el margen, el forecast y el cumplimiento del proceso comercial de SolarPro.</w:t>
      </w:r>
    </w:p>
    <w:p>
      <w:pPr>
        <w:keepNext/>
        <w:spacing w:before="280" w:after="80"/>
        <w:pBdr>
          <w:bottom w:val="single" w:sz="8" w:color="F0E528"/>
        </w:pBdr>
      </w:pPr>
      <w:r>
        <w:rPr>
          <w:rFonts w:ascii="Georgia" w:hAnsi="Georgia"/>
          <w:b/>
          <w:color w:val="0056B4"/>
          <w:sz w:val="26"/>
        </w:rPr>
        <w:t>02. Áreas de efectividad</w:t>
      </w:r>
    </w:p>
    <w:p>
      <w:pPr>
        <w:spacing w:after="120"/>
      </w:pPr>
      <w:r>
        <w:rPr>
          <w:rFonts w:ascii="Calibri" w:hAnsi="Calibri"/>
          <w:color w:val="1C242E"/>
          <w:sz w:val="21"/>
        </w:rPr>
        <w:t>Cada área concentra la responsabilidad del puesto por su peso relativo. Los pesos suman 100% y provienen del perfil vigente.</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2593"/>
            <w:shd w:val="clear" w:fill="0056B4"/>
          </w:tcPr>
          <w:p>
            <w:pPr>
              <w:jc w:val="center"/>
            </w:pPr>
            <w:r/>
            <w:r>
              <w:rPr>
                <w:rFonts w:ascii="Calibri" w:hAnsi="Calibri"/>
                <w:b/>
                <w:color w:val="FFFFFF"/>
                <w:sz w:val="17"/>
              </w:rPr>
              <w:t>Área</w:t>
            </w:r>
          </w:p>
        </w:tc>
        <w:tc>
          <w:tcPr>
            <w:tcW w:type="dxa" w:w="897"/>
            <w:shd w:val="clear" w:fill="0056B4"/>
          </w:tcPr>
          <w:p>
            <w:pPr>
              <w:jc w:val="center"/>
            </w:pPr>
            <w:r/>
            <w:r>
              <w:rPr>
                <w:rFonts w:ascii="Calibri" w:hAnsi="Calibri"/>
                <w:b/>
                <w:color w:val="FFFFFF"/>
                <w:sz w:val="17"/>
              </w:rPr>
              <w:t>Peso</w:t>
            </w:r>
          </w:p>
        </w:tc>
        <w:tc>
          <w:tcPr>
            <w:tcW w:type="dxa" w:w="6482"/>
            <w:shd w:val="clear" w:fill="0056B4"/>
          </w:tcPr>
          <w:p>
            <w:pPr>
              <w:jc w:val="center"/>
            </w:pPr>
            <w:r/>
            <w:r>
              <w:rPr>
                <w:rFonts w:ascii="Calibri" w:hAnsi="Calibri"/>
                <w:b/>
                <w:color w:val="FFFFFF"/>
                <w:sz w:val="17"/>
              </w:rPr>
              <w:t>Descripción</w:t>
            </w:r>
          </w:p>
        </w:tc>
      </w:tr>
      <w:tr>
        <w:tc>
          <w:tcPr>
            <w:tcW w:type="dxa" w:w="2593"/>
          </w:tcPr>
          <w:p>
            <w:r/>
            <w:r>
              <w:rPr>
                <w:rFonts w:ascii="Calibri" w:hAnsi="Calibri"/>
                <w:b w:val="0"/>
                <w:sz w:val="19"/>
              </w:rPr>
              <w:t>Estrategia y Canales</w:t>
            </w:r>
          </w:p>
        </w:tc>
        <w:tc>
          <w:tcPr>
            <w:tcW w:type="dxa" w:w="897"/>
          </w:tcPr>
          <w:p>
            <w:r/>
            <w:r>
              <w:rPr>
                <w:rFonts w:ascii="Calibri" w:hAnsi="Calibri"/>
                <w:b w:val="0"/>
                <w:sz w:val="19"/>
              </w:rPr>
              <w:t>20%</w:t>
            </w:r>
          </w:p>
        </w:tc>
        <w:tc>
          <w:tcPr>
            <w:tcW w:type="dxa" w:w="6482"/>
          </w:tcPr>
          <w:p>
            <w:r/>
            <w:r>
              <w:rPr>
                <w:rFonts w:ascii="Calibri" w:hAnsi="Calibri"/>
                <w:b w:val="0"/>
                <w:sz w:val="19"/>
              </w:rPr>
              <w:t>Definir la estrategia, las cuotas y los territorios por canal (residencial, comercial e industrial), priorizar los canales de mayor rentabilidad y potencial, y alinear marketing con ventas en la generación de demanda.</w:t>
            </w:r>
          </w:p>
        </w:tc>
      </w:tr>
      <w:tr>
        <w:tc>
          <w:tcPr>
            <w:tcW w:type="dxa" w:w="2593"/>
          </w:tcPr>
          <w:p>
            <w:r/>
            <w:r>
              <w:rPr>
                <w:rFonts w:ascii="Calibri" w:hAnsi="Calibri"/>
                <w:b w:val="0"/>
                <w:sz w:val="19"/>
              </w:rPr>
              <w:t>Embudo y Forecast</w:t>
            </w:r>
          </w:p>
        </w:tc>
        <w:tc>
          <w:tcPr>
            <w:tcW w:type="dxa" w:w="897"/>
          </w:tcPr>
          <w:p>
            <w:r/>
            <w:r>
              <w:rPr>
                <w:rFonts w:ascii="Calibri" w:hAnsi="Calibri"/>
                <w:b w:val="0"/>
                <w:sz w:val="19"/>
              </w:rPr>
              <w:t>25%</w:t>
            </w:r>
          </w:p>
        </w:tc>
        <w:tc>
          <w:tcPr>
            <w:tcW w:type="dxa" w:w="6482"/>
          </w:tcPr>
          <w:p>
            <w:r/>
            <w:r>
              <w:rPr>
                <w:rFonts w:ascii="Calibri" w:hAnsi="Calibri"/>
                <w:b w:val="0"/>
                <w:sz w:val="19"/>
              </w:rPr>
              <w:t>Asegurar el contacto de leads en menos de 24 horas, mantener la higiene y la trazabilidad del embudo en el CRM, y elaborar el forecast semanal y mensual con precisión.</w:t>
            </w:r>
          </w:p>
        </w:tc>
      </w:tr>
      <w:tr>
        <w:tc>
          <w:tcPr>
            <w:tcW w:type="dxa" w:w="2593"/>
          </w:tcPr>
          <w:p>
            <w:r/>
            <w:r>
              <w:rPr>
                <w:rFonts w:ascii="Calibri" w:hAnsi="Calibri"/>
                <w:b w:val="0"/>
                <w:sz w:val="19"/>
              </w:rPr>
              <w:t>Rentabilidad y Contratos</w:t>
            </w:r>
          </w:p>
        </w:tc>
        <w:tc>
          <w:tcPr>
            <w:tcW w:type="dxa" w:w="897"/>
          </w:tcPr>
          <w:p>
            <w:r/>
            <w:r>
              <w:rPr>
                <w:rFonts w:ascii="Calibri" w:hAnsi="Calibri"/>
                <w:b w:val="0"/>
                <w:sz w:val="19"/>
              </w:rPr>
              <w:t>25%</w:t>
            </w:r>
          </w:p>
        </w:tc>
        <w:tc>
          <w:tcPr>
            <w:tcW w:type="dxa" w:w="6482"/>
          </w:tcPr>
          <w:p>
            <w:r/>
            <w:r>
              <w:rPr>
                <w:rFonts w:ascii="Calibri" w:hAnsi="Calibri"/>
                <w:b w:val="0"/>
                <w:sz w:val="19"/>
              </w:rPr>
              <w:t>Defender el margen neto, dirigir el comité de precios, autorizar las variaciones al esquema 30-50-20, no cotizar sin checklist técnico y no programar proyectos sin el anticipo autorizado.</w:t>
            </w:r>
          </w:p>
        </w:tc>
      </w:tr>
      <w:tr>
        <w:tc>
          <w:tcPr>
            <w:tcW w:type="dxa" w:w="2593"/>
          </w:tcPr>
          <w:p>
            <w:r/>
            <w:r>
              <w:rPr>
                <w:rFonts w:ascii="Calibri" w:hAnsi="Calibri"/>
                <w:b w:val="0"/>
                <w:sz w:val="19"/>
              </w:rPr>
              <w:t>Equipo y Experiencia del Cliente</w:t>
            </w:r>
          </w:p>
        </w:tc>
        <w:tc>
          <w:tcPr>
            <w:tcW w:type="dxa" w:w="897"/>
          </w:tcPr>
          <w:p>
            <w:r/>
            <w:r>
              <w:rPr>
                <w:rFonts w:ascii="Calibri" w:hAnsi="Calibri"/>
                <w:b w:val="0"/>
                <w:sz w:val="19"/>
              </w:rPr>
              <w:t>20%</w:t>
            </w:r>
          </w:p>
        </w:tc>
        <w:tc>
          <w:tcPr>
            <w:tcW w:type="dxa" w:w="6482"/>
          </w:tcPr>
          <w:p>
            <w:r/>
            <w:r>
              <w:rPr>
                <w:rFonts w:ascii="Calibri" w:hAnsi="Calibri"/>
                <w:b w:val="0"/>
                <w:sz w:val="19"/>
              </w:rPr>
              <w:t>Dar coaching mensual y análisis de win/loss al equipo comercial, desarrollar y evaluar a los Especialistas de Producto y Ejecutivos, y dar seguimiento al NPS y a la experiencia del cliente.</w:t>
            </w:r>
          </w:p>
        </w:tc>
      </w:tr>
      <w:tr>
        <w:tc>
          <w:tcPr>
            <w:tcW w:type="dxa" w:w="2593"/>
          </w:tcPr>
          <w:p>
            <w:r/>
            <w:r>
              <w:rPr>
                <w:rFonts w:ascii="Calibri" w:hAnsi="Calibri"/>
                <w:b w:val="0"/>
                <w:sz w:val="19"/>
              </w:rPr>
              <w:t>Ejecución e Interlocks</w:t>
            </w:r>
          </w:p>
        </w:tc>
        <w:tc>
          <w:tcPr>
            <w:tcW w:type="dxa" w:w="897"/>
          </w:tcPr>
          <w:p>
            <w:r/>
            <w:r>
              <w:rPr>
                <w:rFonts w:ascii="Calibri" w:hAnsi="Calibri"/>
                <w:b w:val="0"/>
                <w:sz w:val="19"/>
              </w:rPr>
              <w:t>10%</w:t>
            </w:r>
          </w:p>
        </w:tc>
        <w:tc>
          <w:tcPr>
            <w:tcW w:type="dxa" w:w="6482"/>
          </w:tcPr>
          <w:p>
            <w:r/>
            <w:r>
              <w:rPr>
                <w:rFonts w:ascii="Calibri" w:hAnsi="Calibri"/>
                <w:b w:val="0"/>
                <w:sz w:val="19"/>
              </w:rPr>
              <w:t>Centralizar y validar las solicitudes de urgencia a otras áreas, verificar el expediente de la orden de venta antes de transferir y asegurar los interlocks con Ingeniería y Operaciones.</w:t>
            </w:r>
          </w:p>
        </w:tc>
      </w:tr>
    </w:tbl>
    <w:p>
      <w:pPr>
        <w:keepNext/>
        <w:spacing w:before="200" w:after="60"/>
      </w:pPr>
      <w:r>
        <w:rPr>
          <w:rFonts w:ascii="Georgia" w:hAnsi="Georgia"/>
          <w:b/>
          <w:color w:val="1C242E"/>
          <w:sz w:val="22"/>
        </w:rPr>
        <w:t>Indicadores y entregables por área</w:t>
      </w:r>
    </w:p>
    <w:p>
      <w:pPr>
        <w:spacing w:after="120"/>
      </w:pPr>
      <w:r>
        <w:rPr>
          <w:rFonts w:ascii="Calibri" w:hAnsi="Calibri"/>
          <w:color w:val="1C242E"/>
          <w:sz w:val="21"/>
        </w:rPr>
        <w:t>Indicadores operativos y entregables de cada área, tomados del perfil vigente. Los indicadores de alcance y frecuencia que la Dirección adopte como tablero se consolidan en la Sección 06.</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2393"/>
            <w:shd w:val="clear" w:fill="0056B4"/>
          </w:tcPr>
          <w:p>
            <w:pPr>
              <w:jc w:val="center"/>
            </w:pPr>
            <w:r/>
            <w:r>
              <w:rPr>
                <w:rFonts w:ascii="Calibri" w:hAnsi="Calibri"/>
                <w:b/>
                <w:color w:val="FFFFFF"/>
                <w:sz w:val="17"/>
              </w:rPr>
              <w:t>Área</w:t>
            </w:r>
          </w:p>
        </w:tc>
        <w:tc>
          <w:tcPr>
            <w:tcW w:type="dxa" w:w="4188"/>
            <w:shd w:val="clear" w:fill="0056B4"/>
          </w:tcPr>
          <w:p>
            <w:pPr>
              <w:jc w:val="center"/>
            </w:pPr>
            <w:r/>
            <w:r>
              <w:rPr>
                <w:rFonts w:ascii="Calibri" w:hAnsi="Calibri"/>
                <w:b/>
                <w:color w:val="FFFFFF"/>
                <w:sz w:val="17"/>
              </w:rPr>
              <w:t>Indicadores del área</w:t>
            </w:r>
          </w:p>
        </w:tc>
        <w:tc>
          <w:tcPr>
            <w:tcW w:type="dxa" w:w="3390"/>
            <w:shd w:val="clear" w:fill="0056B4"/>
          </w:tcPr>
          <w:p>
            <w:pPr>
              <w:jc w:val="center"/>
            </w:pPr>
            <w:r/>
            <w:r>
              <w:rPr>
                <w:rFonts w:ascii="Calibri" w:hAnsi="Calibri"/>
                <w:b/>
                <w:color w:val="FFFFFF"/>
                <w:sz w:val="17"/>
              </w:rPr>
              <w:t>Entregables</w:t>
            </w:r>
          </w:p>
        </w:tc>
      </w:tr>
      <w:tr>
        <w:tc>
          <w:tcPr>
            <w:tcW w:type="dxa" w:w="2393"/>
          </w:tcPr>
          <w:p>
            <w:r/>
            <w:r>
              <w:rPr>
                <w:rFonts w:ascii="Calibri" w:hAnsi="Calibri"/>
                <w:b w:val="0"/>
                <w:sz w:val="19"/>
              </w:rPr>
              <w:t>Estrategia y Canales</w:t>
            </w:r>
          </w:p>
        </w:tc>
        <w:tc>
          <w:tcPr>
            <w:tcW w:type="dxa" w:w="4188"/>
          </w:tcPr>
          <w:p>
            <w:r/>
            <w:r>
              <w:rPr>
                <w:rFonts w:ascii="Calibri" w:hAnsi="Calibri"/>
                <w:b w:val="0"/>
                <w:sz w:val="19"/>
              </w:rPr>
              <w:t>Plan comercial por canal vigente</w:t>
              <w:br/>
              <w:t>Apertura de cuentas por canal según meta</w:t>
            </w:r>
          </w:p>
        </w:tc>
        <w:tc>
          <w:tcPr>
            <w:tcW w:type="dxa" w:w="3390"/>
          </w:tcPr>
          <w:p>
            <w:r/>
            <w:r>
              <w:rPr>
                <w:rFonts w:ascii="Calibri" w:hAnsi="Calibri"/>
                <w:b w:val="0"/>
                <w:sz w:val="19"/>
              </w:rPr>
              <w:t>Plan comercial por canal</w:t>
              <w:br/>
              <w:t>Cuotas y territorios definidos</w:t>
            </w:r>
          </w:p>
        </w:tc>
      </w:tr>
      <w:tr>
        <w:tc>
          <w:tcPr>
            <w:tcW w:type="dxa" w:w="2393"/>
          </w:tcPr>
          <w:p>
            <w:r/>
            <w:r>
              <w:rPr>
                <w:rFonts w:ascii="Calibri" w:hAnsi="Calibri"/>
                <w:b w:val="0"/>
                <w:sz w:val="19"/>
              </w:rPr>
              <w:t>Embudo y Forecast</w:t>
            </w:r>
          </w:p>
        </w:tc>
        <w:tc>
          <w:tcPr>
            <w:tcW w:type="dxa" w:w="4188"/>
          </w:tcPr>
          <w:p>
            <w:r/>
            <w:r>
              <w:rPr>
                <w:rFonts w:ascii="Calibri" w:hAnsi="Calibri"/>
                <w:b w:val="0"/>
                <w:sz w:val="19"/>
              </w:rPr>
              <w:t>Leads atendidos en ≤ 24 h</w:t>
              <w:br/>
              <w:t>Higiene del CRM 100%</w:t>
              <w:br/>
              <w:t>Forecast con desviación ±10%</w:t>
            </w:r>
          </w:p>
        </w:tc>
        <w:tc>
          <w:tcPr>
            <w:tcW w:type="dxa" w:w="3390"/>
          </w:tcPr>
          <w:p>
            <w:r/>
            <w:r>
              <w:rPr>
                <w:rFonts w:ascii="Calibri" w:hAnsi="Calibri"/>
                <w:b w:val="0"/>
                <w:sz w:val="19"/>
              </w:rPr>
              <w:t>Forecast semanal y mensual</w:t>
              <w:br/>
              <w:t>Tablero del embudo por etapa</w:t>
            </w:r>
          </w:p>
        </w:tc>
      </w:tr>
      <w:tr>
        <w:tc>
          <w:tcPr>
            <w:tcW w:type="dxa" w:w="2393"/>
          </w:tcPr>
          <w:p>
            <w:r/>
            <w:r>
              <w:rPr>
                <w:rFonts w:ascii="Calibri" w:hAnsi="Calibri"/>
                <w:b w:val="0"/>
                <w:sz w:val="19"/>
              </w:rPr>
              <w:t>Rentabilidad y Contratos</w:t>
            </w:r>
          </w:p>
        </w:tc>
        <w:tc>
          <w:tcPr>
            <w:tcW w:type="dxa" w:w="4188"/>
          </w:tcPr>
          <w:p>
            <w:r/>
            <w:r>
              <w:rPr>
                <w:rFonts w:ascii="Calibri" w:hAnsi="Calibri"/>
                <w:b w:val="0"/>
                <w:sz w:val="19"/>
              </w:rPr>
              <w:t>Margen neto ≥ 15%</w:t>
              <w:br/>
              <w:t>95% de órdenes con anticipo ≥ 50%</w:t>
            </w:r>
          </w:p>
        </w:tc>
        <w:tc>
          <w:tcPr>
            <w:tcW w:type="dxa" w:w="3390"/>
          </w:tcPr>
          <w:p>
            <w:r/>
            <w:r>
              <w:rPr>
                <w:rFonts w:ascii="Calibri" w:hAnsi="Calibri"/>
                <w:b w:val="0"/>
                <w:sz w:val="19"/>
              </w:rPr>
              <w:t>Comité de precios documentado</w:t>
              <w:br/>
              <w:t>Expedientes de venta validados</w:t>
            </w:r>
          </w:p>
        </w:tc>
      </w:tr>
      <w:tr>
        <w:tc>
          <w:tcPr>
            <w:tcW w:type="dxa" w:w="2393"/>
          </w:tcPr>
          <w:p>
            <w:r/>
            <w:r>
              <w:rPr>
                <w:rFonts w:ascii="Calibri" w:hAnsi="Calibri"/>
                <w:b w:val="0"/>
                <w:sz w:val="19"/>
              </w:rPr>
              <w:t>Equipo y Experiencia del Cliente</w:t>
            </w:r>
          </w:p>
        </w:tc>
        <w:tc>
          <w:tcPr>
            <w:tcW w:type="dxa" w:w="4188"/>
          </w:tcPr>
          <w:p>
            <w:r/>
            <w:r>
              <w:rPr>
                <w:rFonts w:ascii="Calibri" w:hAnsi="Calibri"/>
                <w:b w:val="0"/>
                <w:sz w:val="19"/>
              </w:rPr>
              <w:t>Coaching mensual al equipo</w:t>
              <w:br/>
              <w:t>NPS a 30 días dentro de meta</w:t>
            </w:r>
          </w:p>
        </w:tc>
        <w:tc>
          <w:tcPr>
            <w:tcW w:type="dxa" w:w="3390"/>
          </w:tcPr>
          <w:p>
            <w:r/>
            <w:r>
              <w:rPr>
                <w:rFonts w:ascii="Calibri" w:hAnsi="Calibri"/>
                <w:b w:val="0"/>
                <w:sz w:val="19"/>
              </w:rPr>
              <w:t>Sesiones de coaching y win/loss</w:t>
              <w:br/>
              <w:t>Reporte de NPS y retención</w:t>
            </w:r>
          </w:p>
        </w:tc>
      </w:tr>
      <w:tr>
        <w:tc>
          <w:tcPr>
            <w:tcW w:type="dxa" w:w="2393"/>
          </w:tcPr>
          <w:p>
            <w:r/>
            <w:r>
              <w:rPr>
                <w:rFonts w:ascii="Calibri" w:hAnsi="Calibri"/>
                <w:b w:val="0"/>
                <w:sz w:val="19"/>
              </w:rPr>
              <w:t>Ejecución e Interlocks</w:t>
            </w:r>
          </w:p>
        </w:tc>
        <w:tc>
          <w:tcPr>
            <w:tcW w:type="dxa" w:w="4188"/>
          </w:tcPr>
          <w:p>
            <w:r/>
            <w:r>
              <w:rPr>
                <w:rFonts w:ascii="Calibri" w:hAnsi="Calibri"/>
                <w:b w:val="0"/>
                <w:sz w:val="19"/>
              </w:rPr>
              <w:t>100% de cotizaciones con checklist</w:t>
              <w:br/>
              <w:t>Urgencias centralizadas sin saltar a operaciones</w:t>
            </w:r>
          </w:p>
        </w:tc>
        <w:tc>
          <w:tcPr>
            <w:tcW w:type="dxa" w:w="3390"/>
          </w:tcPr>
          <w:p>
            <w:r/>
            <w:r>
              <w:rPr>
                <w:rFonts w:ascii="Calibri" w:hAnsi="Calibri"/>
                <w:b w:val="0"/>
                <w:sz w:val="19"/>
              </w:rPr>
              <w:t>Solicitudes de urgencia canalizadas</w:t>
              <w:br/>
              <w:t>Interlocks con Ingeniería y Operaciones</w:t>
            </w:r>
          </w:p>
        </w:tc>
      </w:tr>
    </w:tbl>
    <w:p>
      <w:pPr>
        <w:keepNext/>
        <w:spacing w:before="200" w:after="60"/>
      </w:pPr>
      <w:r>
        <w:rPr>
          <w:rFonts w:ascii="Georgia" w:hAnsi="Georgia"/>
          <w:b/>
          <w:color w:val="1C242E"/>
          <w:sz w:val="22"/>
        </w:rPr>
        <w:t>Conocimientos técnicos por área</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2393"/>
            <w:shd w:val="clear" w:fill="0056B4"/>
          </w:tcPr>
          <w:p>
            <w:pPr>
              <w:jc w:val="center"/>
            </w:pPr>
            <w:r/>
            <w:r>
              <w:rPr>
                <w:rFonts w:ascii="Calibri" w:hAnsi="Calibri"/>
                <w:b/>
                <w:color w:val="FFFFFF"/>
                <w:sz w:val="17"/>
              </w:rPr>
              <w:t>Área</w:t>
            </w:r>
          </w:p>
        </w:tc>
        <w:tc>
          <w:tcPr>
            <w:tcW w:type="dxa" w:w="2593"/>
            <w:shd w:val="clear" w:fill="0056B4"/>
          </w:tcPr>
          <w:p>
            <w:pPr>
              <w:jc w:val="center"/>
            </w:pPr>
            <w:r/>
            <w:r>
              <w:rPr>
                <w:rFonts w:ascii="Calibri" w:hAnsi="Calibri"/>
                <w:b/>
                <w:color w:val="FFFFFF"/>
                <w:sz w:val="17"/>
              </w:rPr>
              <w:t>Conocimiento técnico</w:t>
            </w:r>
          </w:p>
        </w:tc>
        <w:tc>
          <w:tcPr>
            <w:tcW w:type="dxa" w:w="4986"/>
            <w:shd w:val="clear" w:fill="0056B4"/>
          </w:tcPr>
          <w:p>
            <w:pPr>
              <w:jc w:val="center"/>
            </w:pPr>
            <w:r/>
            <w:r>
              <w:rPr>
                <w:rFonts w:ascii="Calibri" w:hAnsi="Calibri"/>
                <w:b/>
                <w:color w:val="FFFFFF"/>
                <w:sz w:val="17"/>
              </w:rPr>
              <w:t>Alcance</w:t>
            </w:r>
          </w:p>
        </w:tc>
      </w:tr>
      <w:tr>
        <w:tc>
          <w:tcPr>
            <w:tcW w:type="dxa" w:w="2393"/>
          </w:tcPr>
          <w:p>
            <w:r/>
            <w:r>
              <w:rPr>
                <w:rFonts w:ascii="Calibri" w:hAnsi="Calibri"/>
                <w:b w:val="0"/>
                <w:sz w:val="19"/>
              </w:rPr>
              <w:t>Estrategia y Canales</w:t>
            </w:r>
          </w:p>
        </w:tc>
        <w:tc>
          <w:tcPr>
            <w:tcW w:type="dxa" w:w="2593"/>
          </w:tcPr>
          <w:p>
            <w:r/>
            <w:r>
              <w:rPr>
                <w:rFonts w:ascii="Calibri" w:hAnsi="Calibri"/>
                <w:b w:val="0"/>
                <w:sz w:val="19"/>
              </w:rPr>
              <w:t>Estrategia comercial</w:t>
            </w:r>
          </w:p>
        </w:tc>
        <w:tc>
          <w:tcPr>
            <w:tcW w:type="dxa" w:w="4986"/>
          </w:tcPr>
          <w:p>
            <w:r/>
            <w:r>
              <w:rPr>
                <w:rFonts w:ascii="Calibri" w:hAnsi="Calibri"/>
                <w:b w:val="0"/>
                <w:sz w:val="19"/>
              </w:rPr>
              <w:t>Planeación por canal, cuotas, territorios y mezcla de portafolio.</w:t>
            </w:r>
          </w:p>
        </w:tc>
      </w:tr>
      <w:tr>
        <w:tc>
          <w:tcPr>
            <w:tcW w:type="dxa" w:w="2393"/>
          </w:tcPr>
          <w:p>
            <w:r/>
            <w:r>
              <w:rPr>
                <w:rFonts w:ascii="Calibri" w:hAnsi="Calibri"/>
                <w:b w:val="0"/>
                <w:sz w:val="19"/>
              </w:rPr>
              <w:t>Embudo y Forecast</w:t>
            </w:r>
          </w:p>
        </w:tc>
        <w:tc>
          <w:tcPr>
            <w:tcW w:type="dxa" w:w="2593"/>
          </w:tcPr>
          <w:p>
            <w:r/>
            <w:r>
              <w:rPr>
                <w:rFonts w:ascii="Calibri" w:hAnsi="Calibri"/>
                <w:b w:val="0"/>
                <w:sz w:val="19"/>
              </w:rPr>
              <w:t>Gestión de embudo y CRM</w:t>
            </w:r>
          </w:p>
        </w:tc>
        <w:tc>
          <w:tcPr>
            <w:tcW w:type="dxa" w:w="4986"/>
          </w:tcPr>
          <w:p>
            <w:r/>
            <w:r>
              <w:rPr>
                <w:rFonts w:ascii="Calibri" w:hAnsi="Calibri"/>
                <w:b w:val="0"/>
                <w:sz w:val="19"/>
              </w:rPr>
              <w:t>Administración del pipeline, forecast y disciplina de datos.</w:t>
            </w:r>
          </w:p>
        </w:tc>
      </w:tr>
      <w:tr>
        <w:tc>
          <w:tcPr>
            <w:tcW w:type="dxa" w:w="2393"/>
          </w:tcPr>
          <w:p>
            <w:r/>
            <w:r>
              <w:rPr>
                <w:rFonts w:ascii="Calibri" w:hAnsi="Calibri"/>
                <w:b w:val="0"/>
                <w:sz w:val="19"/>
              </w:rPr>
              <w:t>Rentabilidad y Contratos</w:t>
            </w:r>
          </w:p>
        </w:tc>
        <w:tc>
          <w:tcPr>
            <w:tcW w:type="dxa" w:w="2593"/>
          </w:tcPr>
          <w:p>
            <w:r/>
            <w:r>
              <w:rPr>
                <w:rFonts w:ascii="Calibri" w:hAnsi="Calibri"/>
                <w:b w:val="0"/>
                <w:sz w:val="19"/>
              </w:rPr>
              <w:t>Perspicacia financiera</w:t>
            </w:r>
          </w:p>
        </w:tc>
        <w:tc>
          <w:tcPr>
            <w:tcW w:type="dxa" w:w="4986"/>
          </w:tcPr>
          <w:p>
            <w:r/>
            <w:r>
              <w:rPr>
                <w:rFonts w:ascii="Calibri" w:hAnsi="Calibri"/>
                <w:b w:val="0"/>
                <w:sz w:val="19"/>
              </w:rPr>
              <w:t>Margen, ROI, esquema de cobranza y gobierno de precios.</w:t>
            </w:r>
          </w:p>
        </w:tc>
      </w:tr>
      <w:tr>
        <w:tc>
          <w:tcPr>
            <w:tcW w:type="dxa" w:w="2393"/>
          </w:tcPr>
          <w:p>
            <w:r/>
            <w:r>
              <w:rPr>
                <w:rFonts w:ascii="Calibri" w:hAnsi="Calibri"/>
                <w:b w:val="0"/>
                <w:sz w:val="19"/>
              </w:rPr>
              <w:t>Equipo y Experiencia del Cliente</w:t>
            </w:r>
          </w:p>
        </w:tc>
        <w:tc>
          <w:tcPr>
            <w:tcW w:type="dxa" w:w="2593"/>
          </w:tcPr>
          <w:p>
            <w:r/>
            <w:r>
              <w:rPr>
                <w:rFonts w:ascii="Calibri" w:hAnsi="Calibri"/>
                <w:b w:val="0"/>
                <w:sz w:val="19"/>
              </w:rPr>
              <w:t>Liderazgo comercial</w:t>
            </w:r>
          </w:p>
        </w:tc>
        <w:tc>
          <w:tcPr>
            <w:tcW w:type="dxa" w:w="4986"/>
          </w:tcPr>
          <w:p>
            <w:r/>
            <w:r>
              <w:rPr>
                <w:rFonts w:ascii="Calibri" w:hAnsi="Calibri"/>
                <w:b w:val="0"/>
                <w:sz w:val="19"/>
              </w:rPr>
              <w:t>Coaching, evaluación de desempeño y desarrollo del equipo.</w:t>
            </w:r>
          </w:p>
        </w:tc>
      </w:tr>
      <w:tr>
        <w:tc>
          <w:tcPr>
            <w:tcW w:type="dxa" w:w="2393"/>
          </w:tcPr>
          <w:p>
            <w:r/>
            <w:r>
              <w:rPr>
                <w:rFonts w:ascii="Calibri" w:hAnsi="Calibri"/>
                <w:b w:val="0"/>
                <w:sz w:val="19"/>
              </w:rPr>
              <w:t>Ejecución e Interlocks</w:t>
            </w:r>
          </w:p>
        </w:tc>
        <w:tc>
          <w:tcPr>
            <w:tcW w:type="dxa" w:w="2593"/>
          </w:tcPr>
          <w:p>
            <w:r/>
            <w:r>
              <w:rPr>
                <w:rFonts w:ascii="Calibri" w:hAnsi="Calibri"/>
                <w:b w:val="0"/>
                <w:sz w:val="19"/>
              </w:rPr>
              <w:t>Gobierno de ofertas</w:t>
            </w:r>
          </w:p>
        </w:tc>
        <w:tc>
          <w:tcPr>
            <w:tcW w:type="dxa" w:w="4986"/>
          </w:tcPr>
          <w:p>
            <w:r/>
            <w:r>
              <w:rPr>
                <w:rFonts w:ascii="Calibri" w:hAnsi="Calibri"/>
                <w:b w:val="0"/>
                <w:sz w:val="19"/>
              </w:rPr>
              <w:t>Checklist de cotización, expediente de OV y coordinación interáreas.</w:t>
            </w:r>
          </w:p>
        </w:tc>
      </w:tr>
    </w:tbl>
    <w:p>
      <w:pPr>
        <w:keepNext/>
        <w:spacing w:before="280" w:after="80"/>
        <w:pBdr>
          <w:bottom w:val="single" w:sz="8" w:color="F0E528"/>
        </w:pBdr>
      </w:pPr>
      <w:r>
        <w:rPr>
          <w:rFonts w:ascii="Georgia" w:hAnsi="Georgia"/>
          <w:b/>
          <w:color w:val="0056B4"/>
          <w:sz w:val="26"/>
        </w:rPr>
        <w:t>03. Responsabilidades del SGC del puesto</w:t>
      </w:r>
    </w:p>
    <w:p>
      <w:pPr>
        <w:spacing w:after="120"/>
      </w:pPr>
      <w:r>
        <w:rPr>
          <w:rFonts w:ascii="Calibri" w:hAnsi="Calibri"/>
          <w:color w:val="1C242E"/>
          <w:sz w:val="21"/>
        </w:rPr>
        <w:t>Responsabilidades del puesto dentro del Sistema de Gestión de Calidad ISO 9001:2015, aplicadas al proceso comercial de SolarPro.</w:t>
      </w:r>
    </w:p>
    <w:p>
      <w:pPr>
        <w:pStyle w:val="ListBullet"/>
      </w:pPr>
      <w:r>
        <w:rPr>
          <w:rFonts w:ascii="Calibri" w:hAnsi="Calibri"/>
          <w:sz w:val="20"/>
        </w:rPr>
        <w:t>Cumplir y difundir la política y los objetivos de calidad de SolarPro dentro del área comercial.</w:t>
      </w:r>
    </w:p>
    <w:p>
      <w:pPr>
        <w:pStyle w:val="ListBullet"/>
      </w:pPr>
      <w:r>
        <w:rPr>
          <w:rFonts w:ascii="Calibri" w:hAnsi="Calibri"/>
          <w:sz w:val="20"/>
        </w:rPr>
        <w:t>Aplicar el procedimiento de ventas y los demás procedimientos del proceso comercial, y asegurar su seguimiento por el equipo.</w:t>
      </w:r>
    </w:p>
    <w:p>
      <w:pPr>
        <w:pStyle w:val="ListBullet"/>
      </w:pPr>
      <w:r>
        <w:rPr>
          <w:rFonts w:ascii="Calibri" w:hAnsi="Calibri"/>
          <w:sz w:val="20"/>
        </w:rPr>
        <w:t>Verificar que cada oferta y contrato cumpla los requisitos del cliente, legales y de la organización antes de comprometer la venta (revisión de requisitos del producto y servicio).</w:t>
      </w:r>
    </w:p>
    <w:p>
      <w:pPr>
        <w:pStyle w:val="ListBullet"/>
      </w:pPr>
      <w:r>
        <w:rPr>
          <w:rFonts w:ascii="Calibri" w:hAnsi="Calibri"/>
          <w:sz w:val="20"/>
        </w:rPr>
        <w:t>Asegurar la satisfacción del cliente, recibir y canalizar las quejas y retroalimentación, y dar seguimiento a su resolución con evidencia.</w:t>
      </w:r>
    </w:p>
    <w:p>
      <w:pPr>
        <w:pStyle w:val="ListBullet"/>
      </w:pPr>
      <w:r>
        <w:rPr>
          <w:rFonts w:ascii="Calibri" w:hAnsi="Calibri"/>
          <w:sz w:val="20"/>
        </w:rPr>
        <w:t>Generar, controlar y resguardar los registros y formatos del área comercial (cotizaciones con checklist, expedientes de orden de venta, forecast, reportes de NPS y win/loss) conforme al control de la información documentada.</w:t>
      </w:r>
    </w:p>
    <w:p>
      <w:pPr>
        <w:pStyle w:val="ListBullet"/>
      </w:pPr>
      <w:r>
        <w:rPr>
          <w:rFonts w:ascii="Calibri" w:hAnsi="Calibri"/>
          <w:sz w:val="20"/>
        </w:rPr>
        <w:t>Reportar, registrar y atender las no conformidades del proceso comercial, e impulsar las acciones correctivas y de mejora continua.</w:t>
      </w:r>
    </w:p>
    <w:p>
      <w:pPr>
        <w:pStyle w:val="ListBullet"/>
      </w:pPr>
      <w:r>
        <w:rPr>
          <w:rFonts w:ascii="Calibri" w:hAnsi="Calibri"/>
          <w:sz w:val="20"/>
        </w:rPr>
        <w:t>Alimentar la revisión por la dirección con los indicadores comerciales y con el análisis de riesgos y oportunidades del área.</w:t>
      </w:r>
    </w:p>
    <w:p>
      <w:pPr>
        <w:pStyle w:val="ListBullet"/>
      </w:pPr>
      <w:r>
        <w:rPr>
          <w:rFonts w:ascii="Calibri" w:hAnsi="Calibri"/>
          <w:sz w:val="20"/>
        </w:rPr>
        <w:t>Asegurar la competencia y la toma de conciencia del equipo comercial mediante coaching, evaluación de desempeño y capacitación registrada.</w:t>
      </w:r>
    </w:p>
    <w:p>
      <w:pPr>
        <w:pStyle w:val="ListBullet"/>
      </w:pPr>
      <w:r>
        <w:rPr>
          <w:rFonts w:ascii="Calibri" w:hAnsi="Calibri"/>
          <w:sz w:val="20"/>
        </w:rPr>
        <w:t>Participar en las auditorías internas y externas del SGC, aportando la evidencia del cumplimiento del proceso comercial.</w:t>
      </w:r>
    </w:p>
    <w:p>
      <w:pPr>
        <w:keepNext/>
        <w:spacing w:before="280" w:after="80"/>
        <w:pBdr>
          <w:bottom w:val="single" w:sz="8" w:color="F0E528"/>
        </w:pBdr>
      </w:pPr>
      <w:r>
        <w:rPr>
          <w:rFonts w:ascii="Georgia" w:hAnsi="Georgia"/>
          <w:b/>
          <w:color w:val="0056B4"/>
          <w:sz w:val="26"/>
        </w:rPr>
        <w:t>04. Competencias</w:t>
      </w:r>
    </w:p>
    <w:p>
      <w:pPr>
        <w:keepNext/>
        <w:spacing w:before="200" w:after="60"/>
      </w:pPr>
      <w:r>
        <w:rPr>
          <w:rFonts w:ascii="Georgia" w:hAnsi="Georgia"/>
          <w:b/>
          <w:color w:val="1C242E"/>
          <w:sz w:val="22"/>
        </w:rPr>
        <w:t>Competencias blandas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7180"/>
            <w:shd w:val="clear" w:fill="0056B4"/>
          </w:tcPr>
          <w:p>
            <w:pPr>
              <w:jc w:val="center"/>
            </w:pPr>
            <w:r/>
            <w:r>
              <w:rPr>
                <w:rFonts w:ascii="Calibri" w:hAnsi="Calibri"/>
                <w:b/>
                <w:color w:val="FFFFFF"/>
                <w:sz w:val="17"/>
              </w:rPr>
              <w:t>Competencia</w:t>
            </w:r>
          </w:p>
        </w:tc>
        <w:tc>
          <w:tcPr>
            <w:tcW w:type="dxa" w:w="2792"/>
            <w:shd w:val="clear" w:fill="0056B4"/>
          </w:tcPr>
          <w:p>
            <w:pPr>
              <w:jc w:val="center"/>
            </w:pPr>
            <w:r/>
            <w:r>
              <w:rPr>
                <w:rFonts w:ascii="Calibri" w:hAnsi="Calibri"/>
                <w:b/>
                <w:color w:val="FFFFFF"/>
                <w:sz w:val="17"/>
              </w:rPr>
              <w:t>Nivel requerido</w:t>
            </w:r>
          </w:p>
        </w:tc>
      </w:tr>
      <w:tr>
        <w:tc>
          <w:tcPr>
            <w:tcW w:type="dxa" w:w="7180"/>
          </w:tcPr>
          <w:p>
            <w:r/>
            <w:r>
              <w:rPr>
                <w:rFonts w:ascii="Calibri" w:hAnsi="Calibri"/>
                <w:b w:val="0"/>
                <w:sz w:val="19"/>
              </w:rPr>
              <w:t>Orientación al Cliente</w:t>
            </w:r>
          </w:p>
        </w:tc>
        <w:tc>
          <w:tcPr>
            <w:tcW w:type="dxa" w:w="2792"/>
          </w:tcPr>
          <w:p>
            <w:r/>
            <w:r>
              <w:rPr>
                <w:rFonts w:ascii="Calibri" w:hAnsi="Calibri"/>
                <w:b w:val="0"/>
                <w:sz w:val="19"/>
              </w:rPr>
              <w:t>Alto</w:t>
            </w:r>
          </w:p>
        </w:tc>
      </w:tr>
      <w:tr>
        <w:tc>
          <w:tcPr>
            <w:tcW w:type="dxa" w:w="7180"/>
          </w:tcPr>
          <w:p>
            <w:r/>
            <w:r>
              <w:rPr>
                <w:rFonts w:ascii="Calibri" w:hAnsi="Calibri"/>
                <w:b w:val="0"/>
                <w:sz w:val="19"/>
              </w:rPr>
              <w:t>Planificación y Organización</w:t>
            </w:r>
          </w:p>
        </w:tc>
        <w:tc>
          <w:tcPr>
            <w:tcW w:type="dxa" w:w="2792"/>
          </w:tcPr>
          <w:p>
            <w:r/>
            <w:r>
              <w:rPr>
                <w:rFonts w:ascii="Calibri" w:hAnsi="Calibri"/>
                <w:b w:val="0"/>
                <w:sz w:val="19"/>
              </w:rPr>
              <w:t>Alto</w:t>
            </w:r>
          </w:p>
        </w:tc>
      </w:tr>
      <w:tr>
        <w:tc>
          <w:tcPr>
            <w:tcW w:type="dxa" w:w="7180"/>
          </w:tcPr>
          <w:p>
            <w:r/>
            <w:r>
              <w:rPr>
                <w:rFonts w:ascii="Calibri" w:hAnsi="Calibri"/>
                <w:b w:val="0"/>
                <w:sz w:val="19"/>
              </w:rPr>
              <w:t>Dirección por Resultados</w:t>
            </w:r>
          </w:p>
        </w:tc>
        <w:tc>
          <w:tcPr>
            <w:tcW w:type="dxa" w:w="2792"/>
          </w:tcPr>
          <w:p>
            <w:r/>
            <w:r>
              <w:rPr>
                <w:rFonts w:ascii="Calibri" w:hAnsi="Calibri"/>
                <w:b w:val="0"/>
                <w:sz w:val="19"/>
              </w:rPr>
              <w:t>Alto</w:t>
            </w:r>
          </w:p>
        </w:tc>
      </w:tr>
      <w:tr>
        <w:tc>
          <w:tcPr>
            <w:tcW w:type="dxa" w:w="7180"/>
          </w:tcPr>
          <w:p>
            <w:r/>
            <w:r>
              <w:rPr>
                <w:rFonts w:ascii="Calibri" w:hAnsi="Calibri"/>
                <w:b w:val="0"/>
                <w:sz w:val="19"/>
              </w:rPr>
              <w:t>Impacto e Influencia</w:t>
            </w:r>
          </w:p>
        </w:tc>
        <w:tc>
          <w:tcPr>
            <w:tcW w:type="dxa" w:w="2792"/>
          </w:tcPr>
          <w:p>
            <w:r/>
            <w:r>
              <w:rPr>
                <w:rFonts w:ascii="Calibri" w:hAnsi="Calibri"/>
                <w:b w:val="0"/>
                <w:sz w:val="19"/>
              </w:rPr>
              <w:t>Alto</w:t>
            </w:r>
          </w:p>
        </w:tc>
      </w:tr>
    </w:tbl>
    <w:p>
      <w:pPr>
        <w:keepNext/>
        <w:spacing w:before="200" w:after="60"/>
      </w:pPr>
      <w:r>
        <w:rPr>
          <w:rFonts w:ascii="Georgia" w:hAnsi="Georgia"/>
          <w:b/>
          <w:color w:val="1C242E"/>
          <w:sz w:val="22"/>
        </w:rPr>
        <w:t>Competencias técnicas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7180"/>
            <w:shd w:val="clear" w:fill="0056B4"/>
          </w:tcPr>
          <w:p>
            <w:pPr>
              <w:jc w:val="center"/>
            </w:pPr>
            <w:r/>
            <w:r>
              <w:rPr>
                <w:rFonts w:ascii="Calibri" w:hAnsi="Calibri"/>
                <w:b/>
                <w:color w:val="FFFFFF"/>
                <w:sz w:val="17"/>
              </w:rPr>
              <w:t>Competencia</w:t>
            </w:r>
          </w:p>
        </w:tc>
        <w:tc>
          <w:tcPr>
            <w:tcW w:type="dxa" w:w="2792"/>
            <w:shd w:val="clear" w:fill="0056B4"/>
          </w:tcPr>
          <w:p>
            <w:pPr>
              <w:jc w:val="center"/>
            </w:pPr>
            <w:r/>
            <w:r>
              <w:rPr>
                <w:rFonts w:ascii="Calibri" w:hAnsi="Calibri"/>
                <w:b/>
                <w:color w:val="FFFFFF"/>
                <w:sz w:val="17"/>
              </w:rPr>
              <w:t>Nivel requerido</w:t>
            </w:r>
          </w:p>
        </w:tc>
      </w:tr>
      <w:tr>
        <w:tc>
          <w:tcPr>
            <w:tcW w:type="dxa" w:w="7180"/>
          </w:tcPr>
          <w:p>
            <w:r/>
            <w:r>
              <w:rPr>
                <w:rFonts w:ascii="Calibri" w:hAnsi="Calibri"/>
                <w:b w:val="0"/>
                <w:sz w:val="19"/>
              </w:rPr>
              <w:t>Gestión de Embudo y CRM</w:t>
            </w:r>
          </w:p>
        </w:tc>
        <w:tc>
          <w:tcPr>
            <w:tcW w:type="dxa" w:w="2792"/>
          </w:tcPr>
          <w:p>
            <w:r/>
            <w:r>
              <w:rPr>
                <w:rFonts w:ascii="Calibri" w:hAnsi="Calibri"/>
                <w:b w:val="0"/>
                <w:sz w:val="19"/>
              </w:rPr>
              <w:t>Alto</w:t>
            </w:r>
          </w:p>
        </w:tc>
      </w:tr>
      <w:tr>
        <w:tc>
          <w:tcPr>
            <w:tcW w:type="dxa" w:w="7180"/>
          </w:tcPr>
          <w:p>
            <w:r/>
            <w:r>
              <w:rPr>
                <w:rFonts w:ascii="Calibri" w:hAnsi="Calibri"/>
                <w:b w:val="0"/>
                <w:sz w:val="19"/>
              </w:rPr>
              <w:t>Perspicacia Financiera (Margen y ROI)</w:t>
            </w:r>
          </w:p>
        </w:tc>
        <w:tc>
          <w:tcPr>
            <w:tcW w:type="dxa" w:w="2792"/>
          </w:tcPr>
          <w:p>
            <w:r/>
            <w:r>
              <w:rPr>
                <w:rFonts w:ascii="Calibri" w:hAnsi="Calibri"/>
                <w:b w:val="0"/>
                <w:sz w:val="19"/>
              </w:rPr>
              <w:t>Alto</w:t>
            </w:r>
          </w:p>
        </w:tc>
      </w:tr>
      <w:tr>
        <w:tc>
          <w:tcPr>
            <w:tcW w:type="dxa" w:w="7180"/>
          </w:tcPr>
          <w:p>
            <w:r/>
            <w:r>
              <w:rPr>
                <w:rFonts w:ascii="Calibri" w:hAnsi="Calibri"/>
                <w:b w:val="0"/>
                <w:sz w:val="19"/>
              </w:rPr>
              <w:t>Gobierno de Ofertas y Pricing</w:t>
            </w:r>
          </w:p>
        </w:tc>
        <w:tc>
          <w:tcPr>
            <w:tcW w:type="dxa" w:w="2792"/>
          </w:tcPr>
          <w:p>
            <w:r/>
            <w:r>
              <w:rPr>
                <w:rFonts w:ascii="Calibri" w:hAnsi="Calibri"/>
                <w:b w:val="0"/>
                <w:sz w:val="19"/>
              </w:rPr>
              <w:t>Medio</w:t>
            </w:r>
          </w:p>
        </w:tc>
      </w:tr>
    </w:tbl>
    <w:p>
      <w:pPr>
        <w:keepNext/>
        <w:spacing w:before="280" w:after="80"/>
        <w:pBdr>
          <w:bottom w:val="single" w:sz="8" w:color="F0E528"/>
        </w:pBdr>
      </w:pPr>
      <w:r>
        <w:rPr>
          <w:rFonts w:ascii="Georgia" w:hAnsi="Georgia"/>
          <w:b/>
          <w:color w:val="0056B4"/>
          <w:sz w:val="26"/>
        </w:rPr>
        <w:t>05. Requisitos del puesto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792"/>
            <w:shd w:val="clear" w:fill="0056B4"/>
          </w:tcPr>
          <w:p>
            <w:pPr>
              <w:jc w:val="center"/>
            </w:pPr>
            <w:r/>
            <w:r>
              <w:rPr>
                <w:rFonts w:ascii="Calibri" w:hAnsi="Calibri"/>
                <w:b/>
                <w:color w:val="FFFFFF"/>
                <w:sz w:val="17"/>
              </w:rPr>
              <w:t>Requisito</w:t>
            </w:r>
          </w:p>
        </w:tc>
        <w:tc>
          <w:tcPr>
            <w:tcW w:type="dxa" w:w="7180"/>
            <w:shd w:val="clear" w:fill="0056B4"/>
          </w:tcPr>
          <w:p>
            <w:pPr>
              <w:jc w:val="center"/>
            </w:pPr>
            <w:r/>
            <w:r>
              <w:rPr>
                <w:rFonts w:ascii="Calibri" w:hAnsi="Calibri"/>
                <w:b/>
                <w:color w:val="FFFFFF"/>
                <w:sz w:val="17"/>
              </w:rPr>
              <w:t>Detalle</w:t>
            </w:r>
          </w:p>
        </w:tc>
      </w:tr>
      <w:tr>
        <w:tc>
          <w:tcPr>
            <w:tcW w:type="dxa" w:w="2792"/>
          </w:tcPr>
          <w:p>
            <w:r/>
            <w:r>
              <w:rPr>
                <w:rFonts w:ascii="Calibri" w:hAnsi="Calibri"/>
                <w:b w:val="0"/>
                <w:sz w:val="19"/>
              </w:rPr>
              <w:t>Formación</w:t>
            </w:r>
          </w:p>
        </w:tc>
        <w:tc>
          <w:tcPr>
            <w:tcW w:type="dxa" w:w="7180"/>
          </w:tcPr>
          <w:p>
            <w:r/>
            <w:r>
              <w:rPr>
                <w:rFonts w:ascii="Calibri" w:hAnsi="Calibri"/>
                <w:b w:val="0"/>
                <w:sz w:val="19"/>
              </w:rPr>
              <w:t>Licenciatura en áreas comerciales, administración o ingeniería (titulado).</w:t>
            </w:r>
          </w:p>
        </w:tc>
      </w:tr>
      <w:tr>
        <w:tc>
          <w:tcPr>
            <w:tcW w:type="dxa" w:w="2792"/>
          </w:tcPr>
          <w:p>
            <w:r/>
            <w:r>
              <w:rPr>
                <w:rFonts w:ascii="Calibri" w:hAnsi="Calibri"/>
                <w:b w:val="0"/>
                <w:sz w:val="19"/>
              </w:rPr>
              <w:t>Experiencia</w:t>
            </w:r>
          </w:p>
        </w:tc>
        <w:tc>
          <w:tcPr>
            <w:tcW w:type="dxa" w:w="7180"/>
          </w:tcPr>
          <w:p>
            <w:r/>
            <w:r>
              <w:rPr>
                <w:rFonts w:ascii="Calibri" w:hAnsi="Calibri"/>
                <w:b w:val="0"/>
                <w:sz w:val="19"/>
              </w:rPr>
              <w:t>5+ años liderando equipos comerciales B2B y B2C, idealmente en soluciones técnicas.</w:t>
            </w:r>
          </w:p>
        </w:tc>
      </w:tr>
      <w:tr>
        <w:tc>
          <w:tcPr>
            <w:tcW w:type="dxa" w:w="2792"/>
          </w:tcPr>
          <w:p>
            <w:r/>
            <w:r>
              <w:rPr>
                <w:rFonts w:ascii="Calibri" w:hAnsi="Calibri"/>
                <w:b w:val="0"/>
                <w:sz w:val="19"/>
              </w:rPr>
              <w:t>Modalidad</w:t>
            </w:r>
          </w:p>
        </w:tc>
        <w:tc>
          <w:tcPr>
            <w:tcW w:type="dxa" w:w="7180"/>
          </w:tcPr>
          <w:p>
            <w:r/>
            <w:r>
              <w:rPr>
                <w:rFonts w:ascii="Calibri" w:hAnsi="Calibri"/>
                <w:b w:val="0"/>
                <w:sz w:val="19"/>
              </w:rPr>
              <w:t>Presencial, SolarPro Chihuahua.</w:t>
            </w:r>
          </w:p>
        </w:tc>
      </w:tr>
      <w:tr>
        <w:tc>
          <w:tcPr>
            <w:tcW w:type="dxa" w:w="2792"/>
          </w:tcPr>
          <w:p>
            <w:r/>
            <w:r>
              <w:rPr>
                <w:rFonts w:ascii="Calibri" w:hAnsi="Calibri"/>
                <w:b w:val="0"/>
                <w:sz w:val="19"/>
              </w:rPr>
              <w:t>Herramientas clave</w:t>
            </w:r>
          </w:p>
        </w:tc>
        <w:tc>
          <w:tcPr>
            <w:tcW w:type="dxa" w:w="7180"/>
          </w:tcPr>
          <w:p>
            <w:r/>
            <w:r>
              <w:rPr>
                <w:rFonts w:ascii="Calibri" w:hAnsi="Calibri"/>
                <w:b w:val="0"/>
                <w:sz w:val="19"/>
              </w:rPr>
              <w:t>CRM Nico, ERP, Trello, Office / BI.</w:t>
            </w:r>
          </w:p>
        </w:tc>
      </w:tr>
      <w:tr>
        <w:tc>
          <w:tcPr>
            <w:tcW w:type="dxa" w:w="2792"/>
          </w:tcPr>
          <w:p>
            <w:r/>
            <w:r>
              <w:rPr>
                <w:rFonts w:ascii="Calibri" w:hAnsi="Calibri"/>
                <w:b w:val="0"/>
                <w:sz w:val="19"/>
              </w:rPr>
              <w:t>Certificaciones</w:t>
            </w:r>
          </w:p>
        </w:tc>
        <w:tc>
          <w:tcPr>
            <w:tcW w:type="dxa" w:w="7180"/>
          </w:tcPr>
          <w:p>
            <w:r/>
            <w:r>
              <w:rPr>
                <w:rFonts w:ascii="Calibri" w:hAnsi="Calibri"/>
                <w:b w:val="0"/>
                <w:sz w:val="19"/>
              </w:rPr>
              <w:t>El perfil vigente no especifica certificaciones obligatorias. [Por validar con la Dirección].</w:t>
            </w:r>
          </w:p>
        </w:tc>
      </w:tr>
    </w:tbl>
    <w:p>
      <w:pPr>
        <w:keepNext/>
        <w:spacing w:before="280" w:after="80"/>
        <w:pBdr>
          <w:bottom w:val="single" w:sz="8" w:color="F0E528"/>
        </w:pBdr>
      </w:pPr>
      <w:r>
        <w:rPr>
          <w:rFonts w:ascii="Georgia" w:hAnsi="Georgia"/>
          <w:b/>
          <w:color w:val="0056B4"/>
          <w:sz w:val="26"/>
        </w:rPr>
        <w:t>06. Indicadores del puesto (KPIs)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3191"/>
            <w:shd w:val="clear" w:fill="0056B4"/>
          </w:tcPr>
          <w:p>
            <w:pPr>
              <w:jc w:val="center"/>
            </w:pPr>
            <w:r/>
            <w:r>
              <w:rPr>
                <w:rFonts w:ascii="Calibri" w:hAnsi="Calibri"/>
                <w:b/>
                <w:color w:val="FFFFFF"/>
                <w:sz w:val="17"/>
              </w:rPr>
              <w:t>Indicador</w:t>
            </w:r>
          </w:p>
        </w:tc>
        <w:tc>
          <w:tcPr>
            <w:tcW w:type="dxa" w:w="2393"/>
            <w:shd w:val="clear" w:fill="0056B4"/>
          </w:tcPr>
          <w:p>
            <w:pPr>
              <w:jc w:val="center"/>
            </w:pPr>
            <w:r/>
            <w:r>
              <w:rPr>
                <w:rFonts w:ascii="Calibri" w:hAnsi="Calibri"/>
                <w:b/>
                <w:color w:val="FFFFFF"/>
                <w:sz w:val="17"/>
              </w:rPr>
              <w:t>Meta</w:t>
            </w:r>
          </w:p>
        </w:tc>
        <w:tc>
          <w:tcPr>
            <w:tcW w:type="dxa" w:w="1795"/>
            <w:shd w:val="clear" w:fill="0056B4"/>
          </w:tcPr>
          <w:p>
            <w:pPr>
              <w:jc w:val="center"/>
            </w:pPr>
            <w:r/>
            <w:r>
              <w:rPr>
                <w:rFonts w:ascii="Calibri" w:hAnsi="Calibri"/>
                <w:b/>
                <w:color w:val="FFFFFF"/>
                <w:sz w:val="17"/>
              </w:rPr>
              <w:t>Frecuencia</w:t>
            </w:r>
          </w:p>
        </w:tc>
        <w:tc>
          <w:tcPr>
            <w:tcW w:type="dxa" w:w="2593"/>
            <w:shd w:val="clear" w:fill="0056B4"/>
          </w:tcPr>
          <w:p>
            <w:pPr>
              <w:jc w:val="center"/>
            </w:pPr>
            <w:r/>
            <w:r>
              <w:rPr>
                <w:rFonts w:ascii="Calibri" w:hAnsi="Calibri"/>
                <w:b/>
                <w:color w:val="FFFFFF"/>
                <w:sz w:val="17"/>
              </w:rPr>
              <w:t>Fuente</w:t>
            </w:r>
          </w:p>
        </w:tc>
      </w:tr>
      <w:tr>
        <w:tc>
          <w:tcPr>
            <w:tcW w:type="dxa" w:w="3191"/>
          </w:tcPr>
          <w:p>
            <w:r/>
            <w:r>
              <w:rPr>
                <w:rFonts w:ascii="Calibri" w:hAnsi="Calibri"/>
                <w:b w:val="0"/>
                <w:sz w:val="19"/>
              </w:rPr>
              <w:t>Desviación del forecast</w:t>
            </w:r>
          </w:p>
        </w:tc>
        <w:tc>
          <w:tcPr>
            <w:tcW w:type="dxa" w:w="2393"/>
          </w:tcPr>
          <w:p>
            <w:r/>
            <w:r>
              <w:rPr>
                <w:rFonts w:ascii="Calibri" w:hAnsi="Calibri"/>
                <w:b w:val="0"/>
                <w:sz w:val="19"/>
              </w:rPr>
              <w:t>Menor o igual a ±10%</w:t>
            </w:r>
          </w:p>
        </w:tc>
        <w:tc>
          <w:tcPr>
            <w:tcW w:type="dxa" w:w="1795"/>
          </w:tcPr>
          <w:p>
            <w:r/>
            <w:r>
              <w:rPr>
                <w:rFonts w:ascii="Calibri" w:hAnsi="Calibri"/>
                <w:b w:val="0"/>
                <w:sz w:val="19"/>
              </w:rPr>
              <w:t>Mensual</w:t>
            </w:r>
          </w:p>
        </w:tc>
        <w:tc>
          <w:tcPr>
            <w:tcW w:type="dxa" w:w="2593"/>
          </w:tcPr>
          <w:p>
            <w:r/>
            <w:r>
              <w:rPr>
                <w:rFonts w:ascii="Calibri" w:hAnsi="Calibri"/>
                <w:b w:val="0"/>
                <w:sz w:val="19"/>
              </w:rPr>
              <w:t>Tablero de forecast (CRM)</w:t>
            </w:r>
          </w:p>
        </w:tc>
      </w:tr>
      <w:tr>
        <w:tc>
          <w:tcPr>
            <w:tcW w:type="dxa" w:w="3191"/>
          </w:tcPr>
          <w:p>
            <w:r/>
            <w:r>
              <w:rPr>
                <w:rFonts w:ascii="Calibri" w:hAnsi="Calibri"/>
                <w:b w:val="0"/>
                <w:sz w:val="19"/>
              </w:rPr>
              <w:t>Margen neto por venta</w:t>
            </w:r>
          </w:p>
        </w:tc>
        <w:tc>
          <w:tcPr>
            <w:tcW w:type="dxa" w:w="2393"/>
          </w:tcPr>
          <w:p>
            <w:r/>
            <w:r>
              <w:rPr>
                <w:rFonts w:ascii="Calibri" w:hAnsi="Calibri"/>
                <w:b w:val="0"/>
                <w:sz w:val="19"/>
              </w:rPr>
              <w:t>Mayor o igual a 15%</w:t>
            </w:r>
          </w:p>
        </w:tc>
        <w:tc>
          <w:tcPr>
            <w:tcW w:type="dxa" w:w="1795"/>
          </w:tcPr>
          <w:p>
            <w:r/>
            <w:r>
              <w:rPr>
                <w:rFonts w:ascii="Calibri" w:hAnsi="Calibri"/>
                <w:b w:val="0"/>
                <w:sz w:val="19"/>
              </w:rPr>
              <w:t>Por proyecto</w:t>
            </w:r>
          </w:p>
        </w:tc>
        <w:tc>
          <w:tcPr>
            <w:tcW w:type="dxa" w:w="2593"/>
          </w:tcPr>
          <w:p>
            <w:r/>
            <w:r>
              <w:rPr>
                <w:rFonts w:ascii="Calibri" w:hAnsi="Calibri"/>
                <w:b w:val="0"/>
                <w:sz w:val="19"/>
              </w:rPr>
              <w:t>Comité de precios (ERP)</w:t>
            </w:r>
          </w:p>
        </w:tc>
      </w:tr>
      <w:tr>
        <w:tc>
          <w:tcPr>
            <w:tcW w:type="dxa" w:w="3191"/>
          </w:tcPr>
          <w:p>
            <w:r/>
            <w:r>
              <w:rPr>
                <w:rFonts w:ascii="Calibri" w:hAnsi="Calibri"/>
                <w:b w:val="0"/>
                <w:sz w:val="19"/>
              </w:rPr>
              <w:t>Tiempo de primer contacto de leads</w:t>
            </w:r>
          </w:p>
        </w:tc>
        <w:tc>
          <w:tcPr>
            <w:tcW w:type="dxa" w:w="2393"/>
          </w:tcPr>
          <w:p>
            <w:r/>
            <w:r>
              <w:rPr>
                <w:rFonts w:ascii="Calibri" w:hAnsi="Calibri"/>
                <w:b w:val="0"/>
                <w:sz w:val="19"/>
              </w:rPr>
              <w:t>Menor o igual a 24 h</w:t>
            </w:r>
          </w:p>
        </w:tc>
        <w:tc>
          <w:tcPr>
            <w:tcW w:type="dxa" w:w="1795"/>
          </w:tcPr>
          <w:p>
            <w:r/>
            <w:r>
              <w:rPr>
                <w:rFonts w:ascii="Calibri" w:hAnsi="Calibri"/>
                <w:b w:val="0"/>
                <w:sz w:val="19"/>
              </w:rPr>
              <w:t>Semanal</w:t>
            </w:r>
          </w:p>
        </w:tc>
        <w:tc>
          <w:tcPr>
            <w:tcW w:type="dxa" w:w="2593"/>
          </w:tcPr>
          <w:p>
            <w:r/>
            <w:r>
              <w:rPr>
                <w:rFonts w:ascii="Calibri" w:hAnsi="Calibri"/>
                <w:b w:val="0"/>
                <w:sz w:val="19"/>
              </w:rPr>
              <w:t>CRM (embudo)</w:t>
            </w:r>
          </w:p>
        </w:tc>
      </w:tr>
      <w:tr>
        <w:tc>
          <w:tcPr>
            <w:tcW w:type="dxa" w:w="3191"/>
          </w:tcPr>
          <w:p>
            <w:r/>
            <w:r>
              <w:rPr>
                <w:rFonts w:ascii="Calibri" w:hAnsi="Calibri"/>
                <w:b w:val="0"/>
                <w:sz w:val="19"/>
              </w:rPr>
              <w:t>Órdenes con anticipo suficiente</w:t>
            </w:r>
          </w:p>
        </w:tc>
        <w:tc>
          <w:tcPr>
            <w:tcW w:type="dxa" w:w="2393"/>
          </w:tcPr>
          <w:p>
            <w:r/>
            <w:r>
              <w:rPr>
                <w:rFonts w:ascii="Calibri" w:hAnsi="Calibri"/>
                <w:b w:val="0"/>
                <w:sz w:val="19"/>
              </w:rPr>
              <w:t>95% con anticipo mayor o igual a 50%</w:t>
            </w:r>
          </w:p>
        </w:tc>
        <w:tc>
          <w:tcPr>
            <w:tcW w:type="dxa" w:w="1795"/>
          </w:tcPr>
          <w:p>
            <w:r/>
            <w:r>
              <w:rPr>
                <w:rFonts w:ascii="Calibri" w:hAnsi="Calibri"/>
                <w:b w:val="0"/>
                <w:sz w:val="19"/>
              </w:rPr>
              <w:t>Mensual</w:t>
            </w:r>
          </w:p>
        </w:tc>
        <w:tc>
          <w:tcPr>
            <w:tcW w:type="dxa" w:w="2593"/>
          </w:tcPr>
          <w:p>
            <w:r/>
            <w:r>
              <w:rPr>
                <w:rFonts w:ascii="Calibri" w:hAnsi="Calibri"/>
                <w:b w:val="0"/>
                <w:sz w:val="19"/>
              </w:rPr>
              <w:t>Expedientes de venta</w:t>
            </w:r>
          </w:p>
        </w:tc>
      </w:tr>
      <w:tr>
        <w:tc>
          <w:tcPr>
            <w:tcW w:type="dxa" w:w="3191"/>
          </w:tcPr>
          <w:p>
            <w:r/>
            <w:r>
              <w:rPr>
                <w:rFonts w:ascii="Calibri" w:hAnsi="Calibri"/>
                <w:b w:val="0"/>
                <w:sz w:val="19"/>
              </w:rPr>
              <w:t>Cotizaciones con checklist técnico</w:t>
            </w:r>
          </w:p>
        </w:tc>
        <w:tc>
          <w:tcPr>
            <w:tcW w:type="dxa" w:w="2393"/>
          </w:tcPr>
          <w:p>
            <w:r/>
            <w:r>
              <w:rPr>
                <w:rFonts w:ascii="Calibri" w:hAnsi="Calibri"/>
                <w:b w:val="0"/>
                <w:sz w:val="19"/>
              </w:rPr>
              <w:t>100%</w:t>
            </w:r>
          </w:p>
        </w:tc>
        <w:tc>
          <w:tcPr>
            <w:tcW w:type="dxa" w:w="1795"/>
          </w:tcPr>
          <w:p>
            <w:r/>
            <w:r>
              <w:rPr>
                <w:rFonts w:ascii="Calibri" w:hAnsi="Calibri"/>
                <w:b w:val="0"/>
                <w:sz w:val="19"/>
              </w:rPr>
              <w:t>Mensual</w:t>
            </w:r>
          </w:p>
        </w:tc>
        <w:tc>
          <w:tcPr>
            <w:tcW w:type="dxa" w:w="2593"/>
          </w:tcPr>
          <w:p>
            <w:r/>
            <w:r>
              <w:rPr>
                <w:rFonts w:ascii="Calibri" w:hAnsi="Calibri"/>
                <w:b w:val="0"/>
                <w:sz w:val="19"/>
              </w:rPr>
              <w:t>Expediente de orden de venta</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Las metas de esta tabla provienen del perfil vigente. Las columnas Frecuencia y Fuente se autoran como deber-ser del puesto: no provienen del perfil fuente y se ratifican en la revisión por la dirección. El conjunto completo de indicadores operativos por área (higiene del CRM, apertura de cuentas por canal, coaching mensual al equipo, plan comercial por canal vigente, centralización de urgencias, NPS a 30 días) se detalla en la Sección 02, Áreas de efectividad.</w:t>
            </w:r>
          </w:p>
        </w:tc>
      </w:tr>
    </w:tbl>
    <w:p>
      <w:pPr>
        <w:spacing w:after="40"/>
      </w:pPr>
    </w:p>
    <w:p>
      <w:pPr>
        <w:keepNext/>
        <w:spacing w:before="280" w:after="80"/>
        <w:pBdr>
          <w:bottom w:val="single" w:sz="8" w:color="F0E528"/>
        </w:pBdr>
      </w:pPr>
      <w:r>
        <w:rPr>
          <w:rFonts w:ascii="Georgia" w:hAnsi="Georgia"/>
          <w:b/>
          <w:color w:val="0056B4"/>
          <w:sz w:val="26"/>
        </w:rPr>
        <w:t>07. Relaciones y línea de reporte</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992"/>
            <w:shd w:val="clear" w:fill="0056B4"/>
          </w:tcPr>
          <w:p>
            <w:pPr>
              <w:jc w:val="center"/>
            </w:pPr>
            <w:r/>
            <w:r>
              <w:rPr>
                <w:rFonts w:ascii="Calibri" w:hAnsi="Calibri"/>
                <w:b/>
                <w:color w:val="FFFFFF"/>
                <w:sz w:val="17"/>
              </w:rPr>
              <w:t>Relación</w:t>
            </w:r>
          </w:p>
        </w:tc>
        <w:tc>
          <w:tcPr>
            <w:tcW w:type="dxa" w:w="6980"/>
            <w:shd w:val="clear" w:fill="0056B4"/>
          </w:tcPr>
          <w:p>
            <w:pPr>
              <w:jc w:val="center"/>
            </w:pPr>
            <w:r/>
            <w:r>
              <w:rPr>
                <w:rFonts w:ascii="Calibri" w:hAnsi="Calibri"/>
                <w:b/>
                <w:color w:val="FFFFFF"/>
                <w:sz w:val="17"/>
              </w:rPr>
              <w:t>Rol</w:t>
            </w:r>
          </w:p>
        </w:tc>
      </w:tr>
      <w:tr>
        <w:tc>
          <w:tcPr>
            <w:tcW w:type="dxa" w:w="2992"/>
          </w:tcPr>
          <w:p>
            <w:r/>
            <w:r>
              <w:rPr>
                <w:rFonts w:ascii="Calibri" w:hAnsi="Calibri"/>
                <w:b w:val="0"/>
                <w:sz w:val="19"/>
              </w:rPr>
              <w:t>Reporta a</w:t>
            </w:r>
          </w:p>
        </w:tc>
        <w:tc>
          <w:tcPr>
            <w:tcW w:type="dxa" w:w="6980"/>
          </w:tcPr>
          <w:p>
            <w:r/>
            <w:r>
              <w:rPr>
                <w:rFonts w:ascii="Calibri" w:hAnsi="Calibri"/>
                <w:b w:val="0"/>
                <w:sz w:val="19"/>
              </w:rPr>
              <w:t>Dirección General.</w:t>
            </w:r>
          </w:p>
        </w:tc>
      </w:tr>
      <w:tr>
        <w:tc>
          <w:tcPr>
            <w:tcW w:type="dxa" w:w="2992"/>
          </w:tcPr>
          <w:p>
            <w:r/>
            <w:r>
              <w:rPr>
                <w:rFonts w:ascii="Calibri" w:hAnsi="Calibri"/>
                <w:b w:val="0"/>
                <w:sz w:val="19"/>
              </w:rPr>
              <w:t>Supervisa a</w:t>
            </w:r>
          </w:p>
        </w:tc>
        <w:tc>
          <w:tcPr>
            <w:tcW w:type="dxa" w:w="6980"/>
          </w:tcPr>
          <w:p>
            <w:r/>
            <w:r>
              <w:rPr>
                <w:rFonts w:ascii="Calibri" w:hAnsi="Calibri"/>
                <w:b w:val="0"/>
                <w:sz w:val="19"/>
              </w:rPr>
              <w:t>Especialistas de Producto, Ejecutivos de Atención al Cliente y Ejecutivo de Cuentas Estratégicas.</w:t>
            </w:r>
          </w:p>
        </w:tc>
      </w:tr>
      <w:tr>
        <w:tc>
          <w:tcPr>
            <w:tcW w:type="dxa" w:w="2992"/>
          </w:tcPr>
          <w:p>
            <w:r/>
            <w:r>
              <w:rPr>
                <w:rFonts w:ascii="Calibri" w:hAnsi="Calibri"/>
                <w:b w:val="0"/>
                <w:sz w:val="19"/>
              </w:rPr>
              <w:t>Coordina con (interlocks)</w:t>
            </w:r>
          </w:p>
        </w:tc>
        <w:tc>
          <w:tcPr>
            <w:tcW w:type="dxa" w:w="6980"/>
          </w:tcPr>
          <w:p>
            <w:r/>
            <w:r>
              <w:rPr>
                <w:rFonts w:ascii="Calibri" w:hAnsi="Calibri"/>
                <w:b w:val="0"/>
                <w:sz w:val="19"/>
              </w:rPr>
              <w:t>Ingeniería y Operaciones. [Otras áreas de coordinación como Instalación y Administración: por validar con la Dirección.]</w:t>
            </w:r>
          </w:p>
        </w:tc>
      </w:tr>
      <w:tr>
        <w:tc>
          <w:tcPr>
            <w:tcW w:type="dxa" w:w="2992"/>
          </w:tcPr>
          <w:p>
            <w:r/>
            <w:r>
              <w:rPr>
                <w:rFonts w:ascii="Calibri" w:hAnsi="Calibri"/>
                <w:b w:val="0"/>
                <w:sz w:val="19"/>
              </w:rPr>
              <w:t>Interfaz con el cliente</w:t>
            </w:r>
          </w:p>
        </w:tc>
        <w:tc>
          <w:tcPr>
            <w:tcW w:type="dxa" w:w="6980"/>
          </w:tcPr>
          <w:p>
            <w:r/>
            <w:r>
              <w:rPr>
                <w:rFonts w:ascii="Calibri" w:hAnsi="Calibri"/>
                <w:b w:val="0"/>
                <w:sz w:val="19"/>
              </w:rPr>
              <w:t>Cuentas B2B y B2C de los canales residencial, comercial e industrial.</w:t>
            </w:r>
          </w:p>
        </w:tc>
      </w:tr>
    </w:tbl>
    <w:p>
      <w:pPr>
        <w:keepNext/>
        <w:spacing w:before="280" w:after="80"/>
        <w:pBdr>
          <w:bottom w:val="single" w:sz="8" w:color="F0E528"/>
        </w:pBdr>
      </w:pPr>
      <w:r>
        <w:rPr>
          <w:rFonts w:ascii="Georgia" w:hAnsi="Georgia"/>
          <w:b/>
          <w:color w:val="0056B4"/>
          <w:sz w:val="26"/>
        </w:rPr>
        <w:t>APROBACIÓN</w:t>
      </w:r>
    </w:p>
    <w:p>
      <w:pPr>
        <w:spacing w:after="120"/>
      </w:pPr>
    </w:p>
    <w:p>
      <w:pPr>
        <w:keepNext/>
        <w:spacing w:after="320"/>
      </w:pPr>
    </w:p>
    <w:tbl>
      <w:tblPr>
        <w:tblW w:type="auto" w:w="0"/>
        <w:tblLook w:firstColumn="1" w:firstRow="1" w:lastColumn="0" w:lastRow="0" w:noHBand="0" w:noVBand="1" w:val="04A0"/>
      </w:tblPr>
      <w:tblGrid>
        <w:gridCol w:w="3324"/>
        <w:gridCol w:w="3324"/>
        <w:gridCol w:w="3324"/>
      </w:tblGrid>
      <w:tr>
        <w:tc>
          <w:tcPr>
            <w:tcW w:type="dxa" w:w="3324"/>
          </w:tcPr>
          <w:p>
            <w:pPr>
              <w:jc w:val="center"/>
            </w:pPr>
            <w:r/>
            <w:r>
              <w:rPr>
                <w:sz w:val="20"/>
              </w:rPr>
              <w:t>__________________________</w:t>
            </w:r>
          </w:p>
        </w:tc>
        <w:tc>
          <w:tcPr>
            <w:tcW w:type="dxa" w:w="3324"/>
          </w:tcPr>
          <w:p>
            <w:pPr>
              <w:jc w:val="center"/>
            </w:pPr>
            <w:r/>
            <w:r>
              <w:rPr>
                <w:sz w:val="20"/>
              </w:rPr>
              <w:t>__________________________</w:t>
            </w:r>
          </w:p>
        </w:tc>
        <w:tc>
          <w:tcPr>
            <w:tcW w:type="dxa" w:w="3324"/>
          </w:tcPr>
          <w:p>
            <w:pPr>
              <w:jc w:val="center"/>
            </w:pPr>
            <w:r/>
            <w:r>
              <w:rPr>
                <w:sz w:val="20"/>
              </w:rPr>
              <w:t>__________________________</w:t>
            </w:r>
          </w:p>
        </w:tc>
      </w:tr>
      <w:tr>
        <w:tc>
          <w:tcPr>
            <w:tcW w:type="dxa" w:w="3324"/>
          </w:tcPr>
          <w:p>
            <w:pPr>
              <w:jc w:val="center"/>
            </w:pPr>
            <w:r/>
            <w:r>
              <w:rPr>
                <w:rFonts w:ascii="Calibri" w:hAnsi="Calibri"/>
                <w:b w:val="0"/>
                <w:color w:val="595959"/>
                <w:sz w:val="17"/>
              </w:rPr>
              <w:t>Elaboró</w:t>
              <w:br/>
              <w:t>DETA Consultores</w:t>
            </w:r>
          </w:p>
        </w:tc>
        <w:tc>
          <w:tcPr>
            <w:tcW w:type="dxa" w:w="3324"/>
          </w:tcPr>
          <w:p>
            <w:pPr>
              <w:jc w:val="center"/>
            </w:pPr>
            <w:r/>
            <w:r>
              <w:rPr>
                <w:rFonts w:ascii="Calibri" w:hAnsi="Calibri"/>
                <w:b w:val="0"/>
                <w:color w:val="595959"/>
                <w:sz w:val="17"/>
              </w:rPr>
              <w:t>Revisó</w:t>
              <w:br/>
              <w:t>Gerencia Administrativa</w:t>
            </w:r>
          </w:p>
        </w:tc>
        <w:tc>
          <w:tcPr>
            <w:tcW w:type="dxa" w:w="3324"/>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Gerente Comercial · PER-GCO V1</w:t>
    </w:r>
    <w:r>
      <w:tab/>
    </w:r>
    <w:r>
      <w:rPr>
        <w:rFonts w:ascii="Calibri" w:hAnsi="Calibri"/>
        <w:sz w:val="16"/>
      </w:rPr>
      <w:fldChar w:fldCharType="begin"/>
    </w:r>
    <w:r>
      <w:rPr>
        <w:rFonts w:ascii="Calibri" w:hAnsi="Calibri"/>
        <w:sz w:val="16"/>
      </w:rPr>
      <w:instrText xml:space="preserve"> PAGE </w:instrText>
    </w:r>
    <w:r>
      <w:fldChar w:fldCharType="separate"/>
    </w:r>
    <w:r>
      <w:rPr>
        <w:rFonts w:ascii="Calibri" w:hAnsi="Calibri"/>
        <w:sz w:val="16"/>
      </w:rPr>
      <w:t>1</w:t>
    </w:r>
    <w:r>
      <w:fldChar w:fldCharType="end"/>
    </w:r>
    <w:r>
      <w:rPr>
        <w:color w:val="595959"/>
        <w:sz w:val="15"/>
      </w:rPr>
      <w:t xml:space="preserve"> / </w:t>
    </w:r>
    <w:r>
      <w:rPr>
        <w:rFonts w:ascii="Calibri" w:hAnsi="Calibri"/>
        <w:sz w:val="16"/>
      </w:rPr>
      <w:fldChar w:fldCharType="begin"/>
    </w:r>
    <w:r>
      <w:rPr>
        <w:rFonts w:ascii="Calibri" w:hAnsi="Calibri"/>
        <w:sz w:val="16"/>
      </w:rPr>
      <w:instrText xml:space="preserve"> NUMPAGES </w:instrText>
    </w:r>
    <w:r>
      <w:fldChar w:fldCharType="separate"/>
    </w:r>
    <w:r>
      <w:rPr>
        <w:rFonts w:ascii="Calibri" w:hAnsi="Calibri"/>
        <w:sz w:val="16"/>
      </w:rPr>
      <w:t>1</w:t>
    </w:r>
    <w:r>
      <w:fldChar w:fldCharType="end"/>
    </w:r>
    <w:r>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