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Gerente de Operaciones</w:t>
      </w:r>
    </w:p>
    <w:p>
      <w:pPr>
        <w:jc w:val="center"/>
      </w:pPr>
      <w:r>
        <w:rPr>
          <w:color w:val="F0E528"/>
          <w:sz w:val="24"/>
        </w:rPr>
        <w:t>________</w:t>
      </w:r>
    </w:p>
    <w:p>
      <w:pPr>
        <w:jc w:val="center"/>
      </w:pPr>
      <w:r>
        <w:rPr>
          <w:rFonts w:ascii="Georgia" w:hAnsi="Georgia"/>
          <w:i/>
          <w:color w:val="595959"/>
          <w:sz w:val="26"/>
        </w:rPr>
        <w:t>Perfil de Puesto controlado</w:t>
      </w:r>
    </w:p>
    <w:p>
      <w:pPr>
        <w:spacing w:before="600"/>
        <w:jc w:val="center"/>
      </w:pPr>
      <w:r>
        <w:rPr>
          <w:b/>
          <w:color w:val="1C242E"/>
          <w:sz w:val="22"/>
        </w:rPr>
        <w:t>Soluciones Energéticas JEA, S.A. de C.V.</w:t>
      </w:r>
    </w:p>
    <w:p>
      <w:pPr>
        <w:jc w:val="center"/>
      </w:pPr>
      <w:r>
        <w:rPr>
          <w:color w:val="595959"/>
          <w:sz w:val="20"/>
        </w:rPr>
        <w:t>PER-GOP  ·  Versión 1  ·  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PER-GOP</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Por definir</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de Operaciones</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de Operaciones</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Confidencial</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Chihuahua</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8 de septiembre de 2026</w:t>
            </w:r>
          </w:p>
        </w:tc>
        <w:tc>
          <w:tcPr>
            <w:tcW w:type="dxa" w:w="5584"/>
          </w:tcPr>
          <w:p>
            <w:r/>
            <w:r>
              <w:rPr>
                <w:rFonts w:ascii="Calibri" w:hAnsi="Calibri"/>
                <w:b w:val="0"/>
                <w:sz w:val="19"/>
              </w:rPr>
              <w:t>Emisión inicial como documento controlado del SGC. Migración del perfil editorial a formato ISO, incorporando las responsabilidades del SGC del puesto y los indicadores del puesto (KPIs).</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Control del documento</w:t>
      </w:r>
    </w:p>
    <w:p>
      <w:pPr>
        <w:spacing w:after="40"/>
      </w:pPr>
      <w:r>
        <w:rPr>
          <w:rFonts w:ascii="Calibri" w:hAnsi="Calibri"/>
          <w:color w:val="1C242E"/>
          <w:sz w:val="20"/>
        </w:rPr>
        <w:t>Historial de revisiones</w:t>
      </w:r>
    </w:p>
    <w:p>
      <w:pPr>
        <w:spacing w:after="40"/>
      </w:pPr>
      <w:r>
        <w:rPr>
          <w:rFonts w:ascii="Calibri" w:hAnsi="Calibri"/>
          <w:color w:val="1C242E"/>
          <w:sz w:val="20"/>
        </w:rPr>
        <w:t>1. Objetivo del puesto</w:t>
      </w:r>
    </w:p>
    <w:p>
      <w:pPr>
        <w:spacing w:after="40"/>
      </w:pPr>
      <w:r>
        <w:rPr>
          <w:rFonts w:ascii="Calibri" w:hAnsi="Calibri"/>
          <w:color w:val="1C242E"/>
          <w:sz w:val="20"/>
        </w:rPr>
        <w:t>2. Áreas de efectividad</w:t>
      </w:r>
    </w:p>
    <w:p>
      <w:pPr>
        <w:spacing w:after="40"/>
      </w:pPr>
      <w:r>
        <w:rPr>
          <w:rFonts w:ascii="Calibri" w:hAnsi="Calibri"/>
          <w:color w:val="1C242E"/>
          <w:sz w:val="20"/>
        </w:rPr>
        <w:t>3. Responsabilidades del SGC del puesto</w:t>
      </w:r>
    </w:p>
    <w:p>
      <w:pPr>
        <w:spacing w:after="40"/>
      </w:pPr>
      <w:r>
        <w:rPr>
          <w:rFonts w:ascii="Calibri" w:hAnsi="Calibri"/>
          <w:color w:val="1C242E"/>
          <w:sz w:val="20"/>
        </w:rPr>
        <w:t>4. Competencias</w:t>
      </w:r>
    </w:p>
    <w:p>
      <w:pPr>
        <w:spacing w:after="40"/>
      </w:pPr>
      <w:r>
        <w:rPr>
          <w:rFonts w:ascii="Calibri" w:hAnsi="Calibri"/>
          <w:color w:val="1C242E"/>
          <w:sz w:val="20"/>
        </w:rPr>
        <w:t>5. Requisitos del puesto</w:t>
      </w:r>
    </w:p>
    <w:p>
      <w:pPr>
        <w:spacing w:after="40"/>
      </w:pPr>
      <w:r>
        <w:rPr>
          <w:rFonts w:ascii="Calibri" w:hAnsi="Calibri"/>
          <w:color w:val="1C242E"/>
          <w:sz w:val="20"/>
        </w:rPr>
        <w:t>6. Indicadores del puesto (KPIs)</w:t>
      </w:r>
    </w:p>
    <w:p>
      <w:pPr>
        <w:spacing w:after="40"/>
      </w:pPr>
      <w:r>
        <w:rPr>
          <w:rFonts w:ascii="Calibri" w:hAnsi="Calibri"/>
          <w:color w:val="1C242E"/>
          <w:sz w:val="20"/>
        </w:rPr>
        <w:t>7. Relaciones y línea de reporte</w:t>
      </w:r>
    </w:p>
    <w:p>
      <w:pPr>
        <w:spacing w:after="40"/>
      </w:pPr>
      <w:r>
        <w:rPr>
          <w:rFonts w:ascii="Calibri" w:hAnsi="Calibri"/>
          <w:color w:val="1C242E"/>
          <w:sz w:val="20"/>
        </w:rPr>
        <w:t>Aprobación</w:t>
      </w:r>
    </w:p>
    <w:p>
      <w:r>
        <w:br w:type="page"/>
      </w:r>
    </w:p>
    <w:p>
      <w:pPr>
        <w:keepNext/>
        <w:spacing w:before="280" w:after="80"/>
        <w:pBdr>
          <w:bottom w:val="single" w:sz="8" w:color="F0E528"/>
        </w:pBdr>
      </w:pPr>
      <w:r>
        <w:rPr>
          <w:rFonts w:ascii="Georgia" w:hAnsi="Georgia"/>
          <w:b/>
          <w:color w:val="0056B4"/>
          <w:sz w:val="26"/>
        </w:rPr>
        <w:t>1. Objetivo del puesto</w:t>
      </w:r>
    </w:p>
    <w:p>
      <w:pPr>
        <w:spacing w:after="120"/>
      </w:pPr>
      <w:r>
        <w:rPr>
          <w:rFonts w:ascii="Calibri" w:hAnsi="Calibri"/>
          <w:color w:val="1C242E"/>
          <w:sz w:val="21"/>
        </w:rPr>
        <w:t>Asegurar la ejecución rentable y estandarizada del flujo fotovoltaico completo (programación, logística, obra, evidencias, trámites y postventa), cumpliendo las políticas de la empresa y la satisfacción del cliente.</w:t>
      </w:r>
    </w:p>
    <w:p>
      <w:pPr>
        <w:keepNext/>
        <w:spacing w:before="280" w:after="80"/>
        <w:pBdr>
          <w:bottom w:val="single" w:sz="8" w:color="F0E528"/>
        </w:pBdr>
      </w:pPr>
      <w:r>
        <w:rPr>
          <w:rFonts w:ascii="Georgia" w:hAnsi="Georgia"/>
          <w:b/>
          <w:color w:val="0056B4"/>
          <w:sz w:val="26"/>
        </w:rPr>
        <w:t>2. Áreas de efectividad</w:t>
      </w:r>
    </w:p>
    <w:p>
      <w:pPr>
        <w:spacing w:after="120"/>
      </w:pPr>
      <w:r>
        <w:rPr>
          <w:rFonts w:ascii="Calibri" w:hAnsi="Calibri"/>
          <w:color w:val="1C242E"/>
          <w:sz w:val="21"/>
        </w:rPr>
        <w:t>El puesto responde por seis áreas de efectividad. Cada área integra su método de medición y sus entregables tomados del perfil operativo vigente.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194"/>
            <w:shd w:val="clear" w:fill="0056B4"/>
          </w:tcPr>
          <w:p>
            <w:pPr>
              <w:jc w:val="center"/>
            </w:pPr>
            <w:r/>
            <w:r>
              <w:rPr>
                <w:rFonts w:ascii="Calibri" w:hAnsi="Calibri"/>
                <w:b/>
                <w:color w:val="FFFFFF"/>
                <w:sz w:val="17"/>
              </w:rPr>
              <w:t>Área de efectividad</w:t>
            </w:r>
          </w:p>
        </w:tc>
        <w:tc>
          <w:tcPr>
            <w:tcW w:type="dxa" w:w="1097"/>
            <w:shd w:val="clear" w:fill="0056B4"/>
          </w:tcPr>
          <w:p>
            <w:pPr>
              <w:jc w:val="center"/>
            </w:pPr>
            <w:r/>
            <w:r>
              <w:rPr>
                <w:rFonts w:ascii="Calibri" w:hAnsi="Calibri"/>
                <w:b/>
                <w:color w:val="FFFFFF"/>
                <w:sz w:val="17"/>
              </w:rPr>
              <w:t>Peso</w:t>
            </w:r>
          </w:p>
        </w:tc>
        <w:tc>
          <w:tcPr>
            <w:tcW w:type="dxa" w:w="6681"/>
            <w:shd w:val="clear" w:fill="0056B4"/>
          </w:tcPr>
          <w:p>
            <w:pPr>
              <w:jc w:val="center"/>
            </w:pPr>
            <w:r/>
            <w:r>
              <w:rPr>
                <w:rFonts w:ascii="Calibri" w:hAnsi="Calibri"/>
                <w:b/>
                <w:color w:val="FFFFFF"/>
                <w:sz w:val="17"/>
              </w:rPr>
              <w:t>Descripción, medición y entregables</w:t>
            </w:r>
          </w:p>
        </w:tc>
      </w:tr>
      <w:tr>
        <w:tc>
          <w:tcPr>
            <w:tcW w:type="dxa" w:w="2194"/>
          </w:tcPr>
          <w:p>
            <w:r/>
            <w:r>
              <w:rPr>
                <w:rFonts w:ascii="Calibri" w:hAnsi="Calibri"/>
                <w:b w:val="0"/>
                <w:sz w:val="19"/>
              </w:rPr>
              <w:t>Planificación Operativa y Programación</w:t>
            </w:r>
          </w:p>
        </w:tc>
        <w:tc>
          <w:tcPr>
            <w:tcW w:type="dxa" w:w="1097"/>
          </w:tcPr>
          <w:p>
            <w:r/>
            <w:r>
              <w:rPr>
                <w:rFonts w:ascii="Calibri" w:hAnsi="Calibri"/>
                <w:b w:val="0"/>
                <w:sz w:val="19"/>
              </w:rPr>
              <w:t>[por validar]</w:t>
            </w:r>
          </w:p>
        </w:tc>
        <w:tc>
          <w:tcPr>
            <w:tcW w:type="dxa" w:w="6681"/>
          </w:tcPr>
          <w:p>
            <w:r/>
            <w:r>
              <w:rPr>
                <w:rFonts w:ascii="Calibri" w:hAnsi="Calibri"/>
                <w:b w:val="0"/>
                <w:sz w:val="19"/>
              </w:rPr>
              <w:t>Publicar el programa semanal (viernes) sin calendarizar sin anticipo mayor o igual a 50% (excepciones autorizadas por Dirección General); balancear capacidad de cuadrillas, prioridades y ventanas de cliente; validar OV, documentos, materiales y permisos antes de programar; cuidar el margen objetivo por proyecto con Ventas y Administración, y liderar la reunión operativa semanal para retirar bloqueos. Medición: % de OV con anticipo mayor o igual a 50% y OTD contra plan. Entregables: programa semanal, tablero por OV y reporte de capacidad.</w:t>
            </w:r>
          </w:p>
        </w:tc>
      </w:tr>
      <w:tr>
        <w:tc>
          <w:tcPr>
            <w:tcW w:type="dxa" w:w="2194"/>
          </w:tcPr>
          <w:p>
            <w:r/>
            <w:r>
              <w:rPr>
                <w:rFonts w:ascii="Calibri" w:hAnsi="Calibri"/>
                <w:b w:val="0"/>
                <w:sz w:val="19"/>
              </w:rPr>
              <w:t>Logística y Abastecimiento</w:t>
            </w:r>
          </w:p>
        </w:tc>
        <w:tc>
          <w:tcPr>
            <w:tcW w:type="dxa" w:w="1097"/>
          </w:tcPr>
          <w:p>
            <w:r/>
            <w:r>
              <w:rPr>
                <w:rFonts w:ascii="Calibri" w:hAnsi="Calibri"/>
                <w:b w:val="0"/>
                <w:sz w:val="19"/>
              </w:rPr>
              <w:t>[por validar]</w:t>
            </w:r>
          </w:p>
        </w:tc>
        <w:tc>
          <w:tcPr>
            <w:tcW w:type="dxa" w:w="6681"/>
          </w:tcPr>
          <w:p>
            <w:r/>
            <w:r>
              <w:rPr>
                <w:rFonts w:ascii="Calibri" w:hAnsi="Calibri"/>
                <w:b w:val="0"/>
                <w:sz w:val="19"/>
              </w:rPr>
              <w:t>Emitir requisiciones y coordinar la entrega al Almacén según el programa; asegurar que todo sale con pedido y que no hay despacho sin OV; coordinar compras fuera de stock con Administración; liberar kits completos por OV e identificar materiales por obra, y monitorear el SLA de proveedores. Medición: cero despachos sin pedido. Entregables: requisiciones, pedidos y bitácora de proveedores.</w:t>
            </w:r>
          </w:p>
        </w:tc>
      </w:tr>
      <w:tr>
        <w:tc>
          <w:tcPr>
            <w:tcW w:type="dxa" w:w="2194"/>
          </w:tcPr>
          <w:p>
            <w:r/>
            <w:r>
              <w:rPr>
                <w:rFonts w:ascii="Calibri" w:hAnsi="Calibri"/>
                <w:b w:val="0"/>
                <w:sz w:val="19"/>
              </w:rPr>
              <w:t>Ejecución y Control de Obra</w:t>
            </w:r>
          </w:p>
        </w:tc>
        <w:tc>
          <w:tcPr>
            <w:tcW w:type="dxa" w:w="1097"/>
          </w:tcPr>
          <w:p>
            <w:r/>
            <w:r>
              <w:rPr>
                <w:rFonts w:ascii="Calibri" w:hAnsi="Calibri"/>
                <w:b w:val="0"/>
                <w:sz w:val="19"/>
              </w:rPr>
              <w:t>[por validar]</w:t>
            </w:r>
          </w:p>
        </w:tc>
        <w:tc>
          <w:tcPr>
            <w:tcW w:type="dxa" w:w="6681"/>
          </w:tcPr>
          <w:p>
            <w:r/>
            <w:r>
              <w:rPr>
                <w:rFonts w:ascii="Calibri" w:hAnsi="Calibri"/>
                <w:b w:val="0"/>
                <w:sz w:val="19"/>
              </w:rPr>
              <w:t>Dar seguimiento a UVIE/UI con perito y respaldos; verificar mediante la revisión diaria del tablero y los cortes con Coordinación que ningún despacho ocurra sin pedido o kit completo; asegurar el cumplimiento técnico y las normas de seguridad en sitio; aprobar los cambios mayores de ingeniería (los menores los autoriza Ingeniería/Coordinador conforme a la matriz de autoridad); mantener comunicación diaria con Coordinación y reprogramar solo por causa mayor con evidencia. Medición: cumplimiento de alcance y tiempos con reprogramaciones justificadas. Entregables: parte de obra, checklist HSE y de calidad, y control de tiempos.</w:t>
            </w:r>
          </w:p>
        </w:tc>
      </w:tr>
      <w:tr>
        <w:tc>
          <w:tcPr>
            <w:tcW w:type="dxa" w:w="2194"/>
          </w:tcPr>
          <w:p>
            <w:r/>
            <w:r>
              <w:rPr>
                <w:rFonts w:ascii="Calibri" w:hAnsi="Calibri"/>
                <w:b w:val="0"/>
                <w:sz w:val="19"/>
              </w:rPr>
              <w:t>Evidencias y Calidad</w:t>
            </w:r>
          </w:p>
        </w:tc>
        <w:tc>
          <w:tcPr>
            <w:tcW w:type="dxa" w:w="1097"/>
          </w:tcPr>
          <w:p>
            <w:r/>
            <w:r>
              <w:rPr>
                <w:rFonts w:ascii="Calibri" w:hAnsi="Calibri"/>
                <w:b w:val="0"/>
                <w:sz w:val="19"/>
              </w:rPr>
              <w:t>[por validar]</w:t>
            </w:r>
          </w:p>
        </w:tc>
        <w:tc>
          <w:tcPr>
            <w:tcW w:type="dxa" w:w="6681"/>
          </w:tcPr>
          <w:p>
            <w:r/>
            <w:r>
              <w:rPr>
                <w:rFonts w:ascii="Calibri" w:hAnsi="Calibri"/>
                <w:b w:val="0"/>
                <w:sz w:val="19"/>
              </w:rPr>
              <w:t>Exigir y auditar que las cuadrillas carguen evidencias y checklist el mismo día, programar auditorías y cerrar hallazgos; mantener el repositorio Trello ordenado por OV; coordinar las auditorías internas de calidad y las acciones correctivas; gestionar el cierre de cobranza por checklist con Administración, y coordinar el NPS a 30 días canalizando los hallazgos. Medición: % de evidencias y checklist del día y cierre de cobranza por checklist. Entregables: carpeta Trello, reporte de cierre y NPS a 30 días.</w:t>
            </w:r>
          </w:p>
        </w:tc>
      </w:tr>
      <w:tr>
        <w:tc>
          <w:tcPr>
            <w:tcW w:type="dxa" w:w="2194"/>
          </w:tcPr>
          <w:p>
            <w:r/>
            <w:r>
              <w:rPr>
                <w:rFonts w:ascii="Calibri" w:hAnsi="Calibri"/>
                <w:b w:val="0"/>
                <w:sz w:val="19"/>
              </w:rPr>
              <w:t>Postventa y Monitoreo</w:t>
            </w:r>
          </w:p>
        </w:tc>
        <w:tc>
          <w:tcPr>
            <w:tcW w:type="dxa" w:w="1097"/>
          </w:tcPr>
          <w:p>
            <w:r/>
            <w:r>
              <w:rPr>
                <w:rFonts w:ascii="Calibri" w:hAnsi="Calibri"/>
                <w:b w:val="0"/>
                <w:sz w:val="19"/>
              </w:rPr>
              <w:t>[por validar]</w:t>
            </w:r>
          </w:p>
        </w:tc>
        <w:tc>
          <w:tcPr>
            <w:tcW w:type="dxa" w:w="6681"/>
          </w:tcPr>
          <w:p>
            <w:r/>
            <w:r>
              <w:rPr>
                <w:rFonts w:ascii="Calibri" w:hAnsi="Calibri"/>
                <w:b w:val="0"/>
                <w:sz w:val="19"/>
              </w:rPr>
              <w:t>Coordinar con Ingeniería el monitoreo a 12 meses y la atención de alarmas; diferenciar garantías de servicios comunicando los límites y canalizando cotizaciones; impulsar el mantenimiento anual y la OV de servicio; administrar los tickets de postventa cerrando con checklist y evidencia, y actualizar el historial en CRM y los KPIs de postventa. Medición: monitoreo a 12 meses, % de SLA de alarmas y garantías contra servicios. Entregables: calendario de monitoreo, tickets y oferta de mantenimiento.</w:t>
            </w:r>
          </w:p>
        </w:tc>
      </w:tr>
      <w:tr>
        <w:tc>
          <w:tcPr>
            <w:tcW w:type="dxa" w:w="2194"/>
          </w:tcPr>
          <w:p>
            <w:r/>
            <w:r>
              <w:rPr>
                <w:rFonts w:ascii="Calibri" w:hAnsi="Calibri"/>
                <w:b w:val="0"/>
                <w:sz w:val="19"/>
              </w:rPr>
              <w:t>Dirección de Ingeniería</w:t>
            </w:r>
          </w:p>
        </w:tc>
        <w:tc>
          <w:tcPr>
            <w:tcW w:type="dxa" w:w="1097"/>
          </w:tcPr>
          <w:p>
            <w:r/>
            <w:r>
              <w:rPr>
                <w:rFonts w:ascii="Calibri" w:hAnsi="Calibri"/>
                <w:b w:val="0"/>
                <w:sz w:val="19"/>
              </w:rPr>
              <w:t>[por validar]</w:t>
            </w:r>
          </w:p>
        </w:tc>
        <w:tc>
          <w:tcPr>
            <w:tcW w:type="dxa" w:w="6681"/>
          </w:tcPr>
          <w:p>
            <w:r/>
            <w:r>
              <w:rPr>
                <w:rFonts w:ascii="Calibri" w:hAnsi="Calibri"/>
                <w:b w:val="0"/>
                <w:sz w:val="19"/>
              </w:rPr>
              <w:t>Elaborar y documentar diagramas unifilares, diagramas de interconexión CFE y memoria de cálculo; supervisar planos, layouts y diseños; dar seguimiento a UVIE/UI con perito; definir y mantener los estándares, plantillas y checklist de ingeniería asegurando su uso en todas las OV; aprobar diseños y cambios mayores y delegar los menores con registro de VoBo por OV; gobernar la ingeniería de ofertas (no cotizar sin checklist técnico); asegurar el cumplimiento normativo (NOM-001-SEDE, CFE, UVIE/UI), el cálculo de protecciones AC/DC y la puesta a tierra actuando como responsable técnico, y gestionar la homologación de equipos y el BOM con catálogo aprobado. Medición: % de diseños aprobados en 48 horas o menos, 100% de cumplimiento normativo, retrabajos por error de ingeniería de 2% o menos, catálogo homologado vigente y % de cotizaciones con checklist técnico completo. Entregables: librería y checklist vigentes, VoBo de diseño por OV y reporte de revisión técnica.</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[Pesos por validar] El perfil fuente no asigna un peso porcentual a cada área de efectividad. Definir con la Dirección la ponderación relativa de las seis áreas para la evaluación de desempeño.</w:t>
            </w:r>
          </w:p>
        </w:tc>
      </w:tr>
    </w:tbl>
    <w:p>
      <w:pPr>
        <w:spacing w:after="40"/>
      </w:pPr>
    </w:p>
    <w:p>
      <w:pPr>
        <w:keepNext/>
        <w:spacing w:before="280" w:after="80"/>
        <w:pBdr>
          <w:bottom w:val="single" w:sz="8" w:color="F0E528"/>
        </w:pBdr>
      </w:pPr>
      <w:r>
        <w:rPr>
          <w:rFonts w:ascii="Georgia" w:hAnsi="Georgia"/>
          <w:b/>
          <w:color w:val="0056B4"/>
          <w:sz w:val="26"/>
        </w:rPr>
        <w:t>3. Responsabilidades del SGC del puesto</w:t>
      </w:r>
    </w:p>
    <w:p>
      <w:pPr>
        <w:spacing w:after="120"/>
      </w:pPr>
      <w:r>
        <w:rPr>
          <w:rFonts w:ascii="Calibri" w:hAnsi="Calibri"/>
          <w:color w:val="1C242E"/>
          <w:sz w:val="21"/>
        </w:rPr>
        <w:t>Además de sus funciones operativas, el puesto asume las responsabilidades del Sistema de Gestión de Calidad asociadas a los procesos que dirige: Operaciones, Logística, Obra, Calidad, Postventa e Ingeniería (ISO 9001:2015, cláusula 7.2).</w:t>
      </w:r>
    </w:p>
    <w:p>
      <w:pPr>
        <w:pStyle w:val="ListBullet"/>
      </w:pPr>
      <w:r>
        <w:rPr>
          <w:rFonts w:ascii="Calibri" w:hAnsi="Calibri"/>
          <w:sz w:val="20"/>
        </w:rPr>
        <w:t>Asegurar que las áreas a su cargo sigan los procedimientos aplicables del SGC y operen con los documentos y las plantillas vigentes.</w:t>
      </w:r>
    </w:p>
    <w:p>
      <w:pPr>
        <w:pStyle w:val="ListBullet"/>
      </w:pPr>
      <w:r>
        <w:rPr>
          <w:rFonts w:ascii="Calibri" w:hAnsi="Calibri"/>
          <w:sz w:val="20"/>
        </w:rPr>
        <w:t>Garantizar la calidad y la completitud de cada proyecto fotovoltaico de extremo a extremo: programación, abastecimiento, obra, evidencias, trámites y postventa, conforme a la normativa CFE e interconexión.</w:t>
      </w:r>
    </w:p>
    <w:p>
      <w:pPr>
        <w:pStyle w:val="ListBullet"/>
      </w:pPr>
      <w:r>
        <w:rPr>
          <w:rFonts w:ascii="Calibri" w:hAnsi="Calibri"/>
          <w:sz w:val="20"/>
        </w:rPr>
        <w:t>Controlar la ejecución de la obra: verificar el cumplimiento de alcance y tiempos, las condiciones de seguridad en sitio y las salidas conformes antes de dar por cerrada cada visita.</w:t>
      </w:r>
    </w:p>
    <w:p>
      <w:pPr>
        <w:pStyle w:val="ListBullet"/>
      </w:pPr>
      <w:r>
        <w:rPr>
          <w:rFonts w:ascii="Calibri" w:hAnsi="Calibri"/>
          <w:sz w:val="20"/>
        </w:rPr>
        <w:t>Asegurar que se generen y se resguarden los registros y formatos de sus áreas (requisiciones, pedidos, parte de obra, checklist HSE y de calidad, VoBo de diseño y evidencias), con la carga en Trello el mismo día como fuente única de evidencia.</w:t>
      </w:r>
    </w:p>
    <w:p>
      <w:pPr>
        <w:pStyle w:val="ListBullet"/>
      </w:pPr>
      <w:r>
        <w:rPr>
          <w:rFonts w:ascii="Calibri" w:hAnsi="Calibri"/>
          <w:sz w:val="20"/>
        </w:rPr>
        <w:t>Reportar y atender las no conformidades y los hallazgos detectados en obra, calidad, postventa e ingeniería, coordinar las acciones correctivas y verificar su cierre.</w:t>
      </w:r>
    </w:p>
    <w:p>
      <w:pPr>
        <w:pStyle w:val="ListBullet"/>
      </w:pPr>
      <w:r>
        <w:rPr>
          <w:rFonts w:ascii="Calibri" w:hAnsi="Calibri"/>
          <w:sz w:val="20"/>
        </w:rPr>
        <w:t>Gobernar la ingeniería de ofertas y el cumplimiento normativo, actuando como responsable técnico ante CFE, UVIE/UI y la NOM-001-SEDE.</w:t>
      </w:r>
    </w:p>
    <w:p>
      <w:pPr>
        <w:pStyle w:val="ListBullet"/>
      </w:pPr>
      <w:r>
        <w:rPr>
          <w:rFonts w:ascii="Calibri" w:hAnsi="Calibri"/>
          <w:sz w:val="20"/>
        </w:rPr>
        <w:t>Gestionar la satisfacción del cliente y las quejas mediante el NPS a 30 días, diferenciando garantías de servicios y canalizando los hallazgos.</w:t>
      </w:r>
    </w:p>
    <w:p>
      <w:pPr>
        <w:pStyle w:val="ListBullet"/>
      </w:pPr>
      <w:r>
        <w:rPr>
          <w:rFonts w:ascii="Calibri" w:hAnsi="Calibri"/>
          <w:sz w:val="20"/>
        </w:rPr>
        <w:t>Cumplir y difundir la política de calidad y contribuir al logro de los objetivos de calidad de los procesos a su cargo.</w:t>
      </w:r>
    </w:p>
    <w:p>
      <w:pPr>
        <w:pStyle w:val="ListBullet"/>
      </w:pPr>
      <w:r>
        <w:rPr>
          <w:rFonts w:ascii="Calibri" w:hAnsi="Calibri"/>
          <w:sz w:val="20"/>
        </w:rPr>
        <w:t>Participar en las auditorías internas y externas del SGC y liderar las acciones de mejora continua en sus áreas.</w:t>
      </w:r>
    </w:p>
    <w:p>
      <w:pPr>
        <w:pStyle w:val="ListBullet"/>
      </w:pPr>
      <w:r>
        <w:rPr>
          <w:rFonts w:ascii="Calibri" w:hAnsi="Calibri"/>
          <w:sz w:val="20"/>
        </w:rPr>
        <w:t>Canalizar las lecciones aprendidas de postventa y mantenimiento hacia las plantillas y los estándares de ingeniería.</w:t>
      </w:r>
    </w:p>
    <w:p>
      <w:pPr>
        <w:keepNext/>
        <w:spacing w:before="280" w:after="80"/>
        <w:pBdr>
          <w:bottom w:val="single" w:sz="8" w:color="F0E528"/>
        </w:pBdr>
      </w:pPr>
      <w:r>
        <w:rPr>
          <w:rFonts w:ascii="Georgia" w:hAnsi="Georgia"/>
          <w:b/>
          <w:color w:val="0056B4"/>
          <w:sz w:val="26"/>
        </w:rPr>
        <w:t>4. Competencias</w:t>
      </w:r>
    </w:p>
    <w:p>
      <w:pPr>
        <w:keepNext/>
        <w:spacing w:before="200" w:after="60"/>
      </w:pPr>
      <w:r>
        <w:rPr>
          <w:rFonts w:ascii="Georgia" w:hAnsi="Georgia"/>
          <w:b/>
          <w:color w:val="1C242E"/>
          <w:sz w:val="22"/>
        </w:rPr>
        <w:t>Competencias técnicas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7379"/>
            <w:shd w:val="clear" w:fill="0056B4"/>
          </w:tcPr>
          <w:p>
            <w:pPr>
              <w:jc w:val="center"/>
            </w:pPr>
            <w:r/>
            <w:r>
              <w:rPr>
                <w:rFonts w:ascii="Calibri" w:hAnsi="Calibri"/>
                <w:b/>
                <w:color w:val="FFFFFF"/>
                <w:sz w:val="17"/>
              </w:rPr>
              <w:t>Competencia técnica</w:t>
            </w:r>
          </w:p>
        </w:tc>
        <w:tc>
          <w:tcPr>
            <w:tcW w:type="dxa" w:w="2593"/>
            <w:shd w:val="clear" w:fill="0056B4"/>
          </w:tcPr>
          <w:p>
            <w:pPr>
              <w:jc w:val="center"/>
            </w:pPr>
            <w:r/>
            <w:r>
              <w:rPr>
                <w:rFonts w:ascii="Calibri" w:hAnsi="Calibri"/>
                <w:b/>
                <w:color w:val="FFFFFF"/>
                <w:sz w:val="17"/>
              </w:rPr>
              <w:t>Nivel propuesto (por validar)</w:t>
            </w:r>
          </w:p>
        </w:tc>
      </w:tr>
      <w:tr>
        <w:tc>
          <w:tcPr>
            <w:tcW w:type="dxa" w:w="7379"/>
          </w:tcPr>
          <w:p>
            <w:r/>
            <w:r>
              <w:rPr>
                <w:rFonts w:ascii="Calibri" w:hAnsi="Calibri"/>
                <w:b w:val="0"/>
                <w:sz w:val="19"/>
              </w:rPr>
              <w:t>Planeación de capacidad y programación de obra</w:t>
            </w:r>
          </w:p>
        </w:tc>
        <w:tc>
          <w:tcPr>
            <w:tcW w:type="dxa" w:w="2593"/>
          </w:tcPr>
          <w:p>
            <w:r/>
            <w:r>
              <w:rPr>
                <w:rFonts w:ascii="Calibri" w:hAnsi="Calibri"/>
                <w:b w:val="0"/>
                <w:sz w:val="19"/>
              </w:rPr>
              <w:t>Alto</w:t>
            </w:r>
          </w:p>
        </w:tc>
      </w:tr>
      <w:tr>
        <w:tc>
          <w:tcPr>
            <w:tcW w:type="dxa" w:w="7379"/>
          </w:tcPr>
          <w:p>
            <w:r/>
            <w:r>
              <w:rPr>
                <w:rFonts w:ascii="Calibri" w:hAnsi="Calibri"/>
                <w:b w:val="0"/>
                <w:sz w:val="19"/>
              </w:rPr>
              <w:t>Logística e inventarios de suministro FV (módulos, inversores y protecciones)</w:t>
            </w:r>
          </w:p>
        </w:tc>
        <w:tc>
          <w:tcPr>
            <w:tcW w:type="dxa" w:w="2593"/>
          </w:tcPr>
          <w:p>
            <w:r/>
            <w:r>
              <w:rPr>
                <w:rFonts w:ascii="Calibri" w:hAnsi="Calibri"/>
                <w:b w:val="0"/>
                <w:sz w:val="19"/>
              </w:rPr>
              <w:t>Alto</w:t>
            </w:r>
          </w:p>
        </w:tc>
      </w:tr>
      <w:tr>
        <w:tc>
          <w:tcPr>
            <w:tcW w:type="dxa" w:w="7379"/>
          </w:tcPr>
          <w:p>
            <w:r/>
            <w:r>
              <w:rPr>
                <w:rFonts w:ascii="Calibri" w:hAnsi="Calibri"/>
                <w:b w:val="0"/>
                <w:sz w:val="19"/>
              </w:rPr>
              <w:t>Montaje FV (estructura, módulos, cableado y protecciones)</w:t>
            </w:r>
          </w:p>
        </w:tc>
        <w:tc>
          <w:tcPr>
            <w:tcW w:type="dxa" w:w="2593"/>
          </w:tcPr>
          <w:p>
            <w:r/>
            <w:r>
              <w:rPr>
                <w:rFonts w:ascii="Calibri" w:hAnsi="Calibri"/>
                <w:b w:val="0"/>
                <w:sz w:val="19"/>
              </w:rPr>
              <w:t>Medio</w:t>
            </w:r>
          </w:p>
        </w:tc>
      </w:tr>
      <w:tr>
        <w:tc>
          <w:tcPr>
            <w:tcW w:type="dxa" w:w="7379"/>
          </w:tcPr>
          <w:p>
            <w:r/>
            <w:r>
              <w:rPr>
                <w:rFonts w:ascii="Calibri" w:hAnsi="Calibri"/>
                <w:b w:val="0"/>
                <w:sz w:val="19"/>
              </w:rPr>
              <w:t>Seguridad eléctrica y trabajo en altura</w:t>
            </w:r>
          </w:p>
        </w:tc>
        <w:tc>
          <w:tcPr>
            <w:tcW w:type="dxa" w:w="2593"/>
          </w:tcPr>
          <w:p>
            <w:r/>
            <w:r>
              <w:rPr>
                <w:rFonts w:ascii="Calibri" w:hAnsi="Calibri"/>
                <w:b w:val="0"/>
                <w:sz w:val="19"/>
              </w:rPr>
              <w:t>Medio</w:t>
            </w:r>
          </w:p>
        </w:tc>
      </w:tr>
      <w:tr>
        <w:tc>
          <w:tcPr>
            <w:tcW w:type="dxa" w:w="7379"/>
          </w:tcPr>
          <w:p>
            <w:r/>
            <w:r>
              <w:rPr>
                <w:rFonts w:ascii="Calibri" w:hAnsi="Calibri"/>
                <w:b w:val="0"/>
                <w:sz w:val="19"/>
              </w:rPr>
              <w:t>Diseño y cálculo FV (strings, protecciones AC/DC, puesta a tierra)</w:t>
            </w:r>
          </w:p>
        </w:tc>
        <w:tc>
          <w:tcPr>
            <w:tcW w:type="dxa" w:w="2593"/>
          </w:tcPr>
          <w:p>
            <w:r/>
            <w:r>
              <w:rPr>
                <w:rFonts w:ascii="Calibri" w:hAnsi="Calibri"/>
                <w:b w:val="0"/>
                <w:sz w:val="19"/>
              </w:rPr>
              <w:t>Alto</w:t>
            </w:r>
          </w:p>
        </w:tc>
      </w:tr>
      <w:tr>
        <w:tc>
          <w:tcPr>
            <w:tcW w:type="dxa" w:w="7379"/>
          </w:tcPr>
          <w:p>
            <w:r/>
            <w:r>
              <w:rPr>
                <w:rFonts w:ascii="Calibri" w:hAnsi="Calibri"/>
                <w:b w:val="0"/>
                <w:sz w:val="19"/>
              </w:rPr>
              <w:t>Normativa mexicana de interconexión (CFE, UVIE/UI, NOM-001-SEDE)</w:t>
            </w:r>
          </w:p>
        </w:tc>
        <w:tc>
          <w:tcPr>
            <w:tcW w:type="dxa" w:w="2593"/>
          </w:tcPr>
          <w:p>
            <w:r/>
            <w:r>
              <w:rPr>
                <w:rFonts w:ascii="Calibri" w:hAnsi="Calibri"/>
                <w:b w:val="0"/>
                <w:sz w:val="19"/>
              </w:rPr>
              <w:t>Alto</w:t>
            </w:r>
          </w:p>
        </w:tc>
      </w:tr>
      <w:tr>
        <w:tc>
          <w:tcPr>
            <w:tcW w:type="dxa" w:w="7379"/>
          </w:tcPr>
          <w:p>
            <w:r/>
            <w:r>
              <w:rPr>
                <w:rFonts w:ascii="Calibri" w:hAnsi="Calibri"/>
                <w:b w:val="0"/>
                <w:sz w:val="19"/>
              </w:rPr>
              <w:t>Herramientas de ingeniería (AutoCAD, Helioscope, PVSyst) e integración documental en Trello/ERP</w:t>
            </w:r>
          </w:p>
        </w:tc>
        <w:tc>
          <w:tcPr>
            <w:tcW w:type="dxa" w:w="2593"/>
          </w:tcPr>
          <w:p>
            <w:r/>
            <w:r>
              <w:rPr>
                <w:rFonts w:ascii="Calibri" w:hAnsi="Calibri"/>
                <w:b w:val="0"/>
                <w:sz w:val="19"/>
              </w:rPr>
              <w:t>Alto</w:t>
            </w:r>
          </w:p>
        </w:tc>
      </w:tr>
      <w:tr>
        <w:tc>
          <w:tcPr>
            <w:tcW w:type="dxa" w:w="7379"/>
          </w:tcPr>
          <w:p>
            <w:r/>
            <w:r>
              <w:rPr>
                <w:rFonts w:ascii="Calibri" w:hAnsi="Calibri"/>
                <w:b w:val="0"/>
                <w:sz w:val="19"/>
              </w:rPr>
              <w:t>Sistemas de gestión de calidad y trazabilidad documental</w:t>
            </w:r>
          </w:p>
        </w:tc>
        <w:tc>
          <w:tcPr>
            <w:tcW w:type="dxa" w:w="2593"/>
          </w:tcPr>
          <w:p>
            <w:r/>
            <w:r>
              <w:rPr>
                <w:rFonts w:ascii="Calibri" w:hAnsi="Calibri"/>
                <w:b w:val="0"/>
                <w:sz w:val="19"/>
              </w:rPr>
              <w:t>Alto</w:t>
            </w:r>
          </w:p>
        </w:tc>
      </w:tr>
      <w:tr>
        <w:tc>
          <w:tcPr>
            <w:tcW w:type="dxa" w:w="7379"/>
          </w:tcPr>
          <w:p>
            <w:r/>
            <w:r>
              <w:rPr>
                <w:rFonts w:ascii="Calibri" w:hAnsi="Calibri"/>
                <w:b w:val="0"/>
                <w:sz w:val="19"/>
              </w:rPr>
              <w:t>ERP/CRM y Trello para control de OV y calendario</w:t>
            </w:r>
          </w:p>
        </w:tc>
        <w:tc>
          <w:tcPr>
            <w:tcW w:type="dxa" w:w="2593"/>
          </w:tcPr>
          <w:p>
            <w:r/>
            <w:r>
              <w:rPr>
                <w:rFonts w:ascii="Calibri" w:hAnsi="Calibri"/>
                <w:b w:val="0"/>
                <w:sz w:val="19"/>
              </w:rPr>
              <w:t>Alto</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perfil fuente lista los conocimientos requeridos por el puesto sin asignarles un nivel. Los niveles de la columna anterior son una propuesta de DETA pendiente de validación con la Dirección [por validar].</w:t>
            </w:r>
          </w:p>
        </w:tc>
      </w:tr>
    </w:tbl>
    <w:p>
      <w:pPr>
        <w:spacing w:after="40"/>
      </w:pPr>
    </w:p>
    <w:p>
      <w:pPr>
        <w:keepNext/>
        <w:spacing w:before="200" w:after="60"/>
      </w:pPr>
      <w:r>
        <w:rPr>
          <w:rFonts w:ascii="Georgia" w:hAnsi="Georgia"/>
          <w:b/>
          <w:color w:val="1C242E"/>
          <w:sz w:val="22"/>
        </w:rPr>
        <w:t>Competencias de gestión</w:t>
      </w:r>
    </w:p>
    <w:p>
      <w:pPr>
        <w:spacing w:after="120"/>
      </w:pPr>
      <w:r>
        <w:rPr>
          <w:rFonts w:ascii="Calibri" w:hAnsi="Calibri"/>
          <w:color w:val="1C242E"/>
          <w:sz w:val="21"/>
        </w:rPr>
        <w:t>Competencias del catálogo del perfil fuente, con la definición asociada a cada una.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Competencia</w:t>
            </w:r>
          </w:p>
        </w:tc>
        <w:tc>
          <w:tcPr>
            <w:tcW w:type="dxa" w:w="6980"/>
            <w:shd w:val="clear" w:fill="0056B4"/>
          </w:tcPr>
          <w:p>
            <w:pPr>
              <w:jc w:val="center"/>
            </w:pPr>
            <w:r/>
            <w:r>
              <w:rPr>
                <w:rFonts w:ascii="Calibri" w:hAnsi="Calibri"/>
                <w:b/>
                <w:color w:val="FFFFFF"/>
                <w:sz w:val="17"/>
              </w:rPr>
              <w:t>Descripción</w:t>
            </w:r>
          </w:p>
        </w:tc>
      </w:tr>
      <w:tr>
        <w:tc>
          <w:tcPr>
            <w:tcW w:type="dxa" w:w="2992"/>
          </w:tcPr>
          <w:p>
            <w:r/>
            <w:r>
              <w:rPr>
                <w:rFonts w:ascii="Calibri" w:hAnsi="Calibri"/>
                <w:b w:val="0"/>
                <w:sz w:val="19"/>
              </w:rPr>
              <w:t>Visión Sistémica</w:t>
            </w:r>
          </w:p>
        </w:tc>
        <w:tc>
          <w:tcPr>
            <w:tcW w:type="dxa" w:w="6980"/>
          </w:tcPr>
          <w:p>
            <w:r/>
            <w:r>
              <w:rPr>
                <w:rFonts w:ascii="Calibri" w:hAnsi="Calibri"/>
                <w:b w:val="0"/>
                <w:sz w:val="19"/>
              </w:rPr>
              <w:t>Integra funciones entre áreas para tomar decisiones coherentes.</w:t>
            </w:r>
          </w:p>
        </w:tc>
      </w:tr>
      <w:tr>
        <w:tc>
          <w:tcPr>
            <w:tcW w:type="dxa" w:w="2992"/>
          </w:tcPr>
          <w:p>
            <w:r/>
            <w:r>
              <w:rPr>
                <w:rFonts w:ascii="Calibri" w:hAnsi="Calibri"/>
                <w:b w:val="0"/>
                <w:sz w:val="19"/>
              </w:rPr>
              <w:t>Visión Estratégica</w:t>
            </w:r>
          </w:p>
        </w:tc>
        <w:tc>
          <w:tcPr>
            <w:tcW w:type="dxa" w:w="6980"/>
          </w:tcPr>
          <w:p>
            <w:r/>
            <w:r>
              <w:rPr>
                <w:rFonts w:ascii="Calibri" w:hAnsi="Calibri"/>
                <w:b w:val="0"/>
                <w:sz w:val="19"/>
              </w:rPr>
              <w:t>Detecta oportunidades y define acciones competitivas.</w:t>
            </w:r>
          </w:p>
        </w:tc>
      </w:tr>
      <w:tr>
        <w:tc>
          <w:tcPr>
            <w:tcW w:type="dxa" w:w="2992"/>
          </w:tcPr>
          <w:p>
            <w:r/>
            <w:r>
              <w:rPr>
                <w:rFonts w:ascii="Calibri" w:hAnsi="Calibri"/>
                <w:b w:val="0"/>
                <w:sz w:val="19"/>
              </w:rPr>
              <w:t>Planificación y Organización</w:t>
            </w:r>
          </w:p>
        </w:tc>
        <w:tc>
          <w:tcPr>
            <w:tcW w:type="dxa" w:w="6980"/>
          </w:tcPr>
          <w:p>
            <w:r/>
            <w:r>
              <w:rPr>
                <w:rFonts w:ascii="Calibri" w:hAnsi="Calibri"/>
                <w:b w:val="0"/>
                <w:sz w:val="19"/>
              </w:rPr>
              <w:t>Estructura tareas y recursos para cumplir metas y tiempos.</w:t>
            </w:r>
          </w:p>
        </w:tc>
      </w:tr>
      <w:tr>
        <w:tc>
          <w:tcPr>
            <w:tcW w:type="dxa" w:w="2992"/>
          </w:tcPr>
          <w:p>
            <w:r/>
            <w:r>
              <w:rPr>
                <w:rFonts w:ascii="Calibri" w:hAnsi="Calibri"/>
                <w:b w:val="0"/>
                <w:sz w:val="19"/>
              </w:rPr>
              <w:t>Gestión de Recursos</w:t>
            </w:r>
          </w:p>
        </w:tc>
        <w:tc>
          <w:tcPr>
            <w:tcW w:type="dxa" w:w="6980"/>
          </w:tcPr>
          <w:p>
            <w:r/>
            <w:r>
              <w:rPr>
                <w:rFonts w:ascii="Calibri" w:hAnsi="Calibri"/>
                <w:b w:val="0"/>
                <w:sz w:val="19"/>
              </w:rPr>
              <w:t>Administra recursos humanos, técnicos y financieros con enfoque costo-beneficio.</w:t>
            </w:r>
          </w:p>
        </w:tc>
      </w:tr>
      <w:tr>
        <w:tc>
          <w:tcPr>
            <w:tcW w:type="dxa" w:w="2992"/>
          </w:tcPr>
          <w:p>
            <w:r/>
            <w:r>
              <w:rPr>
                <w:rFonts w:ascii="Calibri" w:hAnsi="Calibri"/>
                <w:b w:val="0"/>
                <w:sz w:val="19"/>
              </w:rPr>
              <w:t>Orientación a la Calidad</w:t>
            </w:r>
          </w:p>
        </w:tc>
        <w:tc>
          <w:tcPr>
            <w:tcW w:type="dxa" w:w="6980"/>
          </w:tcPr>
          <w:p>
            <w:r/>
            <w:r>
              <w:rPr>
                <w:rFonts w:ascii="Calibri" w:hAnsi="Calibri"/>
                <w:b w:val="0"/>
                <w:sz w:val="19"/>
              </w:rPr>
              <w:t>Asegura el cumplimiento de estándares y la mejora continua.</w:t>
            </w:r>
          </w:p>
        </w:tc>
      </w:tr>
      <w:tr>
        <w:tc>
          <w:tcPr>
            <w:tcW w:type="dxa" w:w="2992"/>
          </w:tcPr>
          <w:p>
            <w:r/>
            <w:r>
              <w:rPr>
                <w:rFonts w:ascii="Calibri" w:hAnsi="Calibri"/>
                <w:b w:val="0"/>
                <w:sz w:val="19"/>
              </w:rPr>
              <w:t>Dominio Normativo</w:t>
            </w:r>
          </w:p>
        </w:tc>
        <w:tc>
          <w:tcPr>
            <w:tcW w:type="dxa" w:w="6980"/>
          </w:tcPr>
          <w:p>
            <w:r/>
            <w:r>
              <w:rPr>
                <w:rFonts w:ascii="Calibri" w:hAnsi="Calibri"/>
                <w:b w:val="0"/>
                <w:sz w:val="19"/>
              </w:rPr>
              <w:t>Aplica las normas y verifica su cumplimiento en la operación.</w:t>
            </w:r>
          </w:p>
        </w:tc>
      </w:tr>
    </w:tbl>
    <w:p>
      <w:pPr>
        <w:keepNext/>
        <w:spacing w:before="280" w:after="80"/>
        <w:pBdr>
          <w:bottom w:val="single" w:sz="8" w:color="F0E528"/>
        </w:pBdr>
      </w:pPr>
      <w:r>
        <w:rPr>
          <w:rFonts w:ascii="Georgia" w:hAnsi="Georgia"/>
          <w:b/>
          <w:color w:val="0056B4"/>
          <w:sz w:val="26"/>
        </w:rPr>
        <w:t>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593"/>
            <w:shd w:val="clear" w:fill="0056B4"/>
          </w:tcPr>
          <w:p>
            <w:pPr>
              <w:jc w:val="center"/>
            </w:pPr>
            <w:r/>
            <w:r>
              <w:rPr>
                <w:rFonts w:ascii="Calibri" w:hAnsi="Calibri"/>
                <w:b/>
                <w:color w:val="FFFFFF"/>
                <w:sz w:val="17"/>
              </w:rPr>
              <w:t>Requisito</w:t>
            </w:r>
          </w:p>
        </w:tc>
        <w:tc>
          <w:tcPr>
            <w:tcW w:type="dxa" w:w="7379"/>
            <w:shd w:val="clear" w:fill="0056B4"/>
          </w:tcPr>
          <w:p>
            <w:pPr>
              <w:jc w:val="center"/>
            </w:pPr>
            <w:r/>
            <w:r>
              <w:rPr>
                <w:rFonts w:ascii="Calibri" w:hAnsi="Calibri"/>
                <w:b/>
                <w:color w:val="FFFFFF"/>
                <w:sz w:val="17"/>
              </w:rPr>
              <w:t>Detalle</w:t>
            </w:r>
          </w:p>
        </w:tc>
      </w:tr>
      <w:tr>
        <w:tc>
          <w:tcPr>
            <w:tcW w:type="dxa" w:w="2593"/>
          </w:tcPr>
          <w:p>
            <w:r/>
            <w:r>
              <w:rPr>
                <w:rFonts w:ascii="Calibri" w:hAnsi="Calibri"/>
                <w:b w:val="0"/>
                <w:sz w:val="19"/>
              </w:rPr>
              <w:t>Formación</w:t>
            </w:r>
          </w:p>
        </w:tc>
        <w:tc>
          <w:tcPr>
            <w:tcW w:type="dxa" w:w="7379"/>
          </w:tcPr>
          <w:p>
            <w:r/>
            <w:r>
              <w:rPr>
                <w:rFonts w:ascii="Calibri" w:hAnsi="Calibri"/>
                <w:b w:val="0"/>
                <w:sz w:val="19"/>
              </w:rPr>
              <w:t>[por validar con la Dirección]</w:t>
            </w:r>
          </w:p>
        </w:tc>
      </w:tr>
      <w:tr>
        <w:tc>
          <w:tcPr>
            <w:tcW w:type="dxa" w:w="2593"/>
          </w:tcPr>
          <w:p>
            <w:r/>
            <w:r>
              <w:rPr>
                <w:rFonts w:ascii="Calibri" w:hAnsi="Calibri"/>
                <w:b w:val="0"/>
                <w:sz w:val="19"/>
              </w:rPr>
              <w:t>Experiencia</w:t>
            </w:r>
          </w:p>
        </w:tc>
        <w:tc>
          <w:tcPr>
            <w:tcW w:type="dxa" w:w="7379"/>
          </w:tcPr>
          <w:p>
            <w:r/>
            <w:r>
              <w:rPr>
                <w:rFonts w:ascii="Calibri" w:hAnsi="Calibri"/>
                <w:b w:val="0"/>
                <w:sz w:val="19"/>
              </w:rPr>
              <w:t>[por validar con la Dirección]</w:t>
            </w:r>
          </w:p>
        </w:tc>
      </w:tr>
      <w:tr>
        <w:tc>
          <w:tcPr>
            <w:tcW w:type="dxa" w:w="2593"/>
          </w:tcPr>
          <w:p>
            <w:r/>
            <w:r>
              <w:rPr>
                <w:rFonts w:ascii="Calibri" w:hAnsi="Calibri"/>
                <w:b w:val="0"/>
                <w:sz w:val="19"/>
              </w:rPr>
              <w:t>Herramientas clave</w:t>
            </w:r>
          </w:p>
        </w:tc>
        <w:tc>
          <w:tcPr>
            <w:tcW w:type="dxa" w:w="7379"/>
          </w:tcPr>
          <w:p>
            <w:r/>
            <w:r>
              <w:rPr>
                <w:rFonts w:ascii="Calibri" w:hAnsi="Calibri"/>
                <w:b w:val="0"/>
                <w:sz w:val="19"/>
              </w:rPr>
              <w:t>ERP/CRM, Trello, AutoCAD, Helioscope y PVSyst (derivadas de los conocimientos requeridos por el puesto).</w:t>
            </w:r>
          </w:p>
        </w:tc>
      </w:tr>
      <w:tr>
        <w:tc>
          <w:tcPr>
            <w:tcW w:type="dxa" w:w="2593"/>
          </w:tcPr>
          <w:p>
            <w:r/>
            <w:r>
              <w:rPr>
                <w:rFonts w:ascii="Calibri" w:hAnsi="Calibri"/>
                <w:b w:val="0"/>
                <w:sz w:val="19"/>
              </w:rPr>
              <w:t>Responsabilidad técnica</w:t>
            </w:r>
          </w:p>
        </w:tc>
        <w:tc>
          <w:tcPr>
            <w:tcW w:type="dxa" w:w="7379"/>
          </w:tcPr>
          <w:p>
            <w:r/>
            <w:r>
              <w:rPr>
                <w:rFonts w:ascii="Calibri" w:hAnsi="Calibri"/>
                <w:b w:val="0"/>
                <w:sz w:val="19"/>
              </w:rPr>
              <w:t>Actúa como responsable técnico ante CFE, UVIE/UI y la NOM-001-SEDE; responde por el cálculo de protecciones AC/DC y la puesta a tierra.</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El perfil fuente no especifica la formación académica, los años de experiencia ni las certificaciones obligatorias del puesto. Definir con la Dirección. Por la naturaleza del rol procede validar la formación en Ingeniería (eléctrica, energías renovables o afín) y, por la supervisión de obra y de trabajo en altura, la certificación de trabajo en alturas del personal a cargo.</w:t>
            </w:r>
          </w:p>
        </w:tc>
      </w:tr>
    </w:tbl>
    <w:p>
      <w:pPr>
        <w:spacing w:after="40"/>
      </w:pPr>
    </w:p>
    <w:p>
      <w:pPr>
        <w:keepNext/>
        <w:spacing w:before="280" w:after="80"/>
        <w:pBdr>
          <w:bottom w:val="single" w:sz="8" w:color="F0E528"/>
        </w:pBdr>
      </w:pPr>
      <w:r>
        <w:rPr>
          <w:rFonts w:ascii="Georgia" w:hAnsi="Georgia"/>
          <w:b/>
          <w:color w:val="0056B4"/>
          <w:sz w:val="26"/>
        </w:rPr>
        <w:t>6. Indicadores del puesto (KPIs)</w:t>
      </w:r>
    </w:p>
    <w:p>
      <w:pPr>
        <w:spacing w:after="120"/>
      </w:pPr>
      <w:r>
        <w:rPr>
          <w:rFonts w:ascii="Calibri" w:hAnsi="Calibri"/>
          <w:color w:val="1C242E"/>
          <w:sz w:val="21"/>
        </w:rPr>
        <w:t>Indicadores de desempeño del puesto derivados de la tabla estratégica del perfil fuente. Las metas sin dato en el perfil se marcan como [por definir con la Dirección] y se revisan en la evaluación de proceso del SGC.</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789"/>
            <w:shd w:val="clear" w:fill="0056B4"/>
          </w:tcPr>
          <w:p>
            <w:pPr>
              <w:jc w:val="center"/>
            </w:pPr>
            <w:r/>
            <w:r>
              <w:rPr>
                <w:rFonts w:ascii="Calibri" w:hAnsi="Calibri"/>
                <w:b/>
                <w:color w:val="FFFFFF"/>
                <w:sz w:val="17"/>
              </w:rPr>
              <w:t>Indicador</w:t>
            </w:r>
          </w:p>
        </w:tc>
        <w:tc>
          <w:tcPr>
            <w:tcW w:type="dxa" w:w="2194"/>
            <w:shd w:val="clear" w:fill="0056B4"/>
          </w:tcPr>
          <w:p>
            <w:pPr>
              <w:jc w:val="center"/>
            </w:pPr>
            <w:r/>
            <w:r>
              <w:rPr>
                <w:rFonts w:ascii="Calibri" w:hAnsi="Calibri"/>
                <w:b/>
                <w:color w:val="FFFFFF"/>
                <w:sz w:val="17"/>
              </w:rPr>
              <w:t>Meta</w:t>
            </w:r>
          </w:p>
        </w:tc>
        <w:tc>
          <w:tcPr>
            <w:tcW w:type="dxa" w:w="1596"/>
            <w:shd w:val="clear" w:fill="0056B4"/>
          </w:tcPr>
          <w:p>
            <w:pPr>
              <w:jc w:val="center"/>
            </w:pPr>
            <w:r/>
            <w:r>
              <w:rPr>
                <w:rFonts w:ascii="Calibri" w:hAnsi="Calibri"/>
                <w:b/>
                <w:color w:val="FFFFFF"/>
                <w:sz w:val="17"/>
              </w:rPr>
              <w:t>Frecuencia</w:t>
            </w:r>
          </w:p>
        </w:tc>
        <w:tc>
          <w:tcPr>
            <w:tcW w:type="dxa" w:w="2393"/>
            <w:shd w:val="clear" w:fill="0056B4"/>
          </w:tcPr>
          <w:p>
            <w:pPr>
              <w:jc w:val="center"/>
            </w:pPr>
            <w:r/>
            <w:r>
              <w:rPr>
                <w:rFonts w:ascii="Calibri" w:hAnsi="Calibri"/>
                <w:b/>
                <w:color w:val="FFFFFF"/>
                <w:sz w:val="17"/>
              </w:rPr>
              <w:t>Fuente / evidencia</w:t>
            </w:r>
          </w:p>
        </w:tc>
      </w:tr>
      <w:tr>
        <w:tc>
          <w:tcPr>
            <w:tcW w:type="dxa" w:w="3789"/>
          </w:tcPr>
          <w:p>
            <w:r/>
            <w:r>
              <w:rPr>
                <w:rFonts w:ascii="Calibri" w:hAnsi="Calibri"/>
                <w:b w:val="0"/>
                <w:sz w:val="19"/>
              </w:rPr>
              <w:t>Despachos ejecutados sin pedido u OV</w:t>
            </w:r>
          </w:p>
        </w:tc>
        <w:tc>
          <w:tcPr>
            <w:tcW w:type="dxa" w:w="2194"/>
          </w:tcPr>
          <w:p>
            <w:r/>
            <w:r>
              <w:rPr>
                <w:rFonts w:ascii="Calibri" w:hAnsi="Calibri"/>
                <w:b w:val="0"/>
                <w:sz w:val="19"/>
              </w:rPr>
              <w:t>0</w:t>
            </w:r>
          </w:p>
        </w:tc>
        <w:tc>
          <w:tcPr>
            <w:tcW w:type="dxa" w:w="1596"/>
          </w:tcPr>
          <w:p>
            <w:r/>
            <w:r>
              <w:rPr>
                <w:rFonts w:ascii="Calibri" w:hAnsi="Calibri"/>
                <w:b w:val="0"/>
                <w:sz w:val="19"/>
              </w:rPr>
              <w:t>Continuo</w:t>
            </w:r>
          </w:p>
        </w:tc>
        <w:tc>
          <w:tcPr>
            <w:tcW w:type="dxa" w:w="2393"/>
          </w:tcPr>
          <w:p>
            <w:r/>
            <w:r>
              <w:rPr>
                <w:rFonts w:ascii="Calibri" w:hAnsi="Calibri"/>
                <w:b w:val="0"/>
                <w:sz w:val="19"/>
              </w:rPr>
              <w:t>Requisiciones y pedidos</w:t>
            </w:r>
          </w:p>
        </w:tc>
      </w:tr>
      <w:tr>
        <w:tc>
          <w:tcPr>
            <w:tcW w:type="dxa" w:w="3789"/>
          </w:tcPr>
          <w:p>
            <w:r/>
            <w:r>
              <w:rPr>
                <w:rFonts w:ascii="Calibri" w:hAnsi="Calibri"/>
                <w:b w:val="0"/>
                <w:sz w:val="19"/>
              </w:rPr>
              <w:t>Entregas a tiempo contra plan (OTD)</w:t>
            </w:r>
          </w:p>
        </w:tc>
        <w:tc>
          <w:tcPr>
            <w:tcW w:type="dxa" w:w="2194"/>
          </w:tcPr>
          <w:p>
            <w:r/>
            <w:r>
              <w:rPr>
                <w:rFonts w:ascii="Calibri" w:hAnsi="Calibri"/>
                <w:b w:val="0"/>
                <w:sz w:val="19"/>
              </w:rPr>
              <w:t>[por definir con la Dirección]</w:t>
            </w:r>
          </w:p>
        </w:tc>
        <w:tc>
          <w:tcPr>
            <w:tcW w:type="dxa" w:w="1596"/>
          </w:tcPr>
          <w:p>
            <w:r/>
            <w:r>
              <w:rPr>
                <w:rFonts w:ascii="Calibri" w:hAnsi="Calibri"/>
                <w:b w:val="0"/>
                <w:sz w:val="19"/>
              </w:rPr>
              <w:t>Por proyecto</w:t>
            </w:r>
          </w:p>
        </w:tc>
        <w:tc>
          <w:tcPr>
            <w:tcW w:type="dxa" w:w="2393"/>
          </w:tcPr>
          <w:p>
            <w:r/>
            <w:r>
              <w:rPr>
                <w:rFonts w:ascii="Calibri" w:hAnsi="Calibri"/>
                <w:b w:val="0"/>
                <w:sz w:val="19"/>
              </w:rPr>
              <w:t>Tablero por OV y parte de obra</w:t>
            </w:r>
          </w:p>
        </w:tc>
      </w:tr>
      <w:tr>
        <w:tc>
          <w:tcPr>
            <w:tcW w:type="dxa" w:w="3789"/>
          </w:tcPr>
          <w:p>
            <w:r/>
            <w:r>
              <w:rPr>
                <w:rFonts w:ascii="Calibri" w:hAnsi="Calibri"/>
                <w:b w:val="0"/>
                <w:sz w:val="19"/>
              </w:rPr>
              <w:t>Diseños aprobados en 48 horas o menos</w:t>
            </w:r>
          </w:p>
        </w:tc>
        <w:tc>
          <w:tcPr>
            <w:tcW w:type="dxa" w:w="2194"/>
          </w:tcPr>
          <w:p>
            <w:r/>
            <w:r>
              <w:rPr>
                <w:rFonts w:ascii="Calibri" w:hAnsi="Calibri"/>
                <w:b w:val="0"/>
                <w:sz w:val="19"/>
              </w:rPr>
              <w:t>[por definir con la Dirección]</w:t>
            </w:r>
          </w:p>
        </w:tc>
        <w:tc>
          <w:tcPr>
            <w:tcW w:type="dxa" w:w="1596"/>
          </w:tcPr>
          <w:p>
            <w:r/>
            <w:r>
              <w:rPr>
                <w:rFonts w:ascii="Calibri" w:hAnsi="Calibri"/>
                <w:b w:val="0"/>
                <w:sz w:val="19"/>
              </w:rPr>
              <w:t>Por proyecto</w:t>
            </w:r>
          </w:p>
        </w:tc>
        <w:tc>
          <w:tcPr>
            <w:tcW w:type="dxa" w:w="2393"/>
          </w:tcPr>
          <w:p>
            <w:r/>
            <w:r>
              <w:rPr>
                <w:rFonts w:ascii="Calibri" w:hAnsi="Calibri"/>
                <w:b w:val="0"/>
                <w:sz w:val="19"/>
              </w:rPr>
              <w:t>VoBo de diseño y reporte de revisión técnica</w:t>
            </w:r>
          </w:p>
        </w:tc>
      </w:tr>
      <w:tr>
        <w:tc>
          <w:tcPr>
            <w:tcW w:type="dxa" w:w="3789"/>
          </w:tcPr>
          <w:p>
            <w:r/>
            <w:r>
              <w:rPr>
                <w:rFonts w:ascii="Calibri" w:hAnsi="Calibri"/>
                <w:b w:val="0"/>
                <w:sz w:val="19"/>
              </w:rPr>
              <w:t>Cumplimiento normativo en diseños (NOM-001-SEDE, CFE, UVIE/UI)</w:t>
            </w:r>
          </w:p>
        </w:tc>
        <w:tc>
          <w:tcPr>
            <w:tcW w:type="dxa" w:w="2194"/>
          </w:tcPr>
          <w:p>
            <w:r/>
            <w:r>
              <w:rPr>
                <w:rFonts w:ascii="Calibri" w:hAnsi="Calibri"/>
                <w:b w:val="0"/>
                <w:sz w:val="19"/>
              </w:rPr>
              <w:t>100%</w:t>
            </w:r>
          </w:p>
        </w:tc>
        <w:tc>
          <w:tcPr>
            <w:tcW w:type="dxa" w:w="1596"/>
          </w:tcPr>
          <w:p>
            <w:r/>
            <w:r>
              <w:rPr>
                <w:rFonts w:ascii="Calibri" w:hAnsi="Calibri"/>
                <w:b w:val="0"/>
                <w:sz w:val="19"/>
              </w:rPr>
              <w:t>Por proyecto</w:t>
            </w:r>
          </w:p>
        </w:tc>
        <w:tc>
          <w:tcPr>
            <w:tcW w:type="dxa" w:w="2393"/>
          </w:tcPr>
          <w:p>
            <w:r/>
            <w:r>
              <w:rPr>
                <w:rFonts w:ascii="Calibri" w:hAnsi="Calibri"/>
                <w:b w:val="0"/>
                <w:sz w:val="19"/>
              </w:rPr>
              <w:t>VoBo de diseño y reporte de revisión técnica</w:t>
            </w:r>
          </w:p>
        </w:tc>
      </w:tr>
      <w:tr>
        <w:tc>
          <w:tcPr>
            <w:tcW w:type="dxa" w:w="3789"/>
          </w:tcPr>
          <w:p>
            <w:r/>
            <w:r>
              <w:rPr>
                <w:rFonts w:ascii="Calibri" w:hAnsi="Calibri"/>
                <w:b w:val="0"/>
                <w:sz w:val="19"/>
              </w:rPr>
              <w:t>Retrabajos por error de ingeniería</w:t>
            </w:r>
          </w:p>
        </w:tc>
        <w:tc>
          <w:tcPr>
            <w:tcW w:type="dxa" w:w="2194"/>
          </w:tcPr>
          <w:p>
            <w:r/>
            <w:r>
              <w:rPr>
                <w:rFonts w:ascii="Calibri" w:hAnsi="Calibri"/>
                <w:b w:val="0"/>
                <w:sz w:val="19"/>
              </w:rPr>
              <w:t>2% o menos</w:t>
            </w:r>
          </w:p>
        </w:tc>
        <w:tc>
          <w:tcPr>
            <w:tcW w:type="dxa" w:w="1596"/>
          </w:tcPr>
          <w:p>
            <w:r/>
            <w:r>
              <w:rPr>
                <w:rFonts w:ascii="Calibri" w:hAnsi="Calibri"/>
                <w:b w:val="0"/>
                <w:sz w:val="19"/>
              </w:rPr>
              <w:t>Por proyecto</w:t>
            </w:r>
          </w:p>
        </w:tc>
        <w:tc>
          <w:tcPr>
            <w:tcW w:type="dxa" w:w="2393"/>
          </w:tcPr>
          <w:p>
            <w:r/>
            <w:r>
              <w:rPr>
                <w:rFonts w:ascii="Calibri" w:hAnsi="Calibri"/>
                <w:b w:val="0"/>
                <w:sz w:val="19"/>
              </w:rPr>
              <w:t>Reporte de revisión técnica</w:t>
            </w:r>
          </w:p>
        </w:tc>
      </w:tr>
    </w:tbl>
    <w:p>
      <w:pPr>
        <w:keepNext/>
        <w:spacing w:before="280" w:after="80"/>
        <w:pBdr>
          <w:bottom w:val="single" w:sz="8" w:color="F0E528"/>
        </w:pBdr>
      </w:pPr>
      <w:r>
        <w:rPr>
          <w:rFonts w:ascii="Georgia" w:hAnsi="Georgia"/>
          <w:b/>
          <w:color w:val="0056B4"/>
          <w:sz w:val="26"/>
        </w:rPr>
        <w:t>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Relación</w:t>
            </w:r>
          </w:p>
        </w:tc>
        <w:tc>
          <w:tcPr>
            <w:tcW w:type="dxa" w:w="6980"/>
            <w:shd w:val="clear" w:fill="0056B4"/>
          </w:tcPr>
          <w:p>
            <w:pPr>
              <w:jc w:val="center"/>
            </w:pPr>
            <w:r/>
            <w:r>
              <w:rPr>
                <w:rFonts w:ascii="Calibri" w:hAnsi="Calibri"/>
                <w:b/>
                <w:color w:val="FFFFFF"/>
                <w:sz w:val="17"/>
              </w:rPr>
              <w:t>Rol</w:t>
            </w:r>
          </w:p>
        </w:tc>
      </w:tr>
      <w:tr>
        <w:tc>
          <w:tcPr>
            <w:tcW w:type="dxa" w:w="2992"/>
          </w:tcPr>
          <w:p>
            <w:r/>
            <w:r>
              <w:rPr>
                <w:rFonts w:ascii="Calibri" w:hAnsi="Calibri"/>
                <w:b w:val="0"/>
                <w:sz w:val="19"/>
              </w:rPr>
              <w:t>Reporta a</w:t>
            </w:r>
          </w:p>
        </w:tc>
        <w:tc>
          <w:tcPr>
            <w:tcW w:type="dxa" w:w="6980"/>
          </w:tcPr>
          <w:p>
            <w:r/>
            <w:r>
              <w:rPr>
                <w:rFonts w:ascii="Calibri" w:hAnsi="Calibri"/>
                <w:b w:val="0"/>
                <w:sz w:val="19"/>
              </w:rPr>
              <w:t>Dirección General [por validar]</w:t>
            </w:r>
          </w:p>
        </w:tc>
      </w:tr>
      <w:tr>
        <w:tc>
          <w:tcPr>
            <w:tcW w:type="dxa" w:w="2992"/>
          </w:tcPr>
          <w:p>
            <w:r/>
            <w:r>
              <w:rPr>
                <w:rFonts w:ascii="Calibri" w:hAnsi="Calibri"/>
                <w:b w:val="0"/>
                <w:sz w:val="19"/>
              </w:rPr>
              <w:t>Supervisa a</w:t>
            </w:r>
          </w:p>
        </w:tc>
        <w:tc>
          <w:tcPr>
            <w:tcW w:type="dxa" w:w="6980"/>
          </w:tcPr>
          <w:p>
            <w:r/>
            <w:r>
              <w:rPr>
                <w:rFonts w:ascii="Calibri" w:hAnsi="Calibri"/>
                <w:b w:val="0"/>
                <w:sz w:val="19"/>
              </w:rPr>
              <w:t>Coordinación de obra, Ingeniería (ingeniero responsable) y cuadrillas de instalación [por validar].</w:t>
            </w:r>
          </w:p>
        </w:tc>
      </w:tr>
      <w:tr>
        <w:tc>
          <w:tcPr>
            <w:tcW w:type="dxa" w:w="2992"/>
          </w:tcPr>
          <w:p>
            <w:r/>
            <w:r>
              <w:rPr>
                <w:rFonts w:ascii="Calibri" w:hAnsi="Calibri"/>
                <w:b w:val="0"/>
                <w:sz w:val="19"/>
              </w:rPr>
              <w:t>Coordinación interna clave</w:t>
            </w:r>
          </w:p>
        </w:tc>
        <w:tc>
          <w:tcPr>
            <w:tcW w:type="dxa" w:w="6980"/>
          </w:tcPr>
          <w:p>
            <w:r/>
            <w:r>
              <w:rPr>
                <w:rFonts w:ascii="Calibri" w:hAnsi="Calibri"/>
                <w:b w:val="0"/>
                <w:sz w:val="19"/>
              </w:rPr>
              <w:t>Ventas y Comercial (márgenes y ofertas), Administración (compras y cobranza), Almacén (entrega de material por proyecto) y Postventa.</w:t>
            </w:r>
          </w:p>
        </w:tc>
      </w:tr>
      <w:tr>
        <w:tc>
          <w:tcPr>
            <w:tcW w:type="dxa" w:w="2992"/>
          </w:tcPr>
          <w:p>
            <w:r/>
            <w:r>
              <w:rPr>
                <w:rFonts w:ascii="Calibri" w:hAnsi="Calibri"/>
                <w:b w:val="0"/>
                <w:sz w:val="19"/>
              </w:rPr>
              <w:t>Interlocutores externos</w:t>
            </w:r>
          </w:p>
        </w:tc>
        <w:tc>
          <w:tcPr>
            <w:tcW w:type="dxa" w:w="6980"/>
          </w:tcPr>
          <w:p>
            <w:r/>
            <w:r>
              <w:rPr>
                <w:rFonts w:ascii="Calibri" w:hAnsi="Calibri"/>
                <w:b w:val="0"/>
                <w:sz w:val="19"/>
              </w:rPr>
              <w:t>Proveedores, CFE (interconexión), peritos UVIE/UI y cliente final.</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El perfil fuente no declara de forma explícita la línea de reporte ni la línea de supervisión del puesto. La línea de reporte a Dirección General se infiere de las excepciones que autoriza la Dirección, y la línea de supervisión se deriva de las áreas de efectividad a cargo. Almacén figura como coordinación de entregas, no como reporte directo. Validar el organigrama con la Dirección.</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de Operaciones</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Gerente de Operaciones · PER-GOP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