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Informe de Auditoría Interna</w:t>
      </w:r>
    </w:p>
    <w:p>
      <w:pPr>
        <w:jc w:val="center"/>
      </w:pPr>
      <w:r>
        <w:rPr>
          <w:color w:val="F0E528"/>
          <w:sz w:val="24"/>
        </w:rPr>
        <w:t>________</w:t>
      </w:r>
    </w:p>
    <w:p>
      <w:pPr>
        <w:jc w:val="center"/>
      </w:pPr>
      <w:r>
        <w:rPr>
          <w:rFonts w:ascii="Georgia" w:hAnsi="Georgia"/>
          <w:i/>
          <w:color w:val="595959"/>
          <w:sz w:val="26"/>
        </w:rPr>
        <w:t>Plantilla del informe de auditoría interna del SGC (ISO 9001:2015, cláusula 9.2)</w:t>
      </w:r>
    </w:p>
    <w:p>
      <w:pPr>
        <w:spacing w:before="600"/>
        <w:jc w:val="center"/>
      </w:pPr>
      <w:r>
        <w:rPr>
          <w:b/>
          <w:color w:val="1C242E"/>
          <w:sz w:val="22"/>
        </w:rPr>
        <w:t>Soluciones Energéticas JEA S.A. de C.V. (SolarPro)</w:t>
      </w:r>
    </w:p>
    <w:p>
      <w:pPr>
        <w:jc w:val="center"/>
      </w:pPr>
      <w:r>
        <w:rPr>
          <w:color w:val="595959"/>
          <w:sz w:val="20"/>
        </w:rPr>
        <w:t>INF-AI-001  ·  Versión 1  ·  08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INF-AI-001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Chihuahua (matriz) y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 de septiembre de 2026</w:t>
            </w:r>
          </w:p>
        </w:tc>
        <w:tc>
          <w:tcPr>
            <w:tcW w:type="dxa" w:w="5584"/>
          </w:tcPr>
          <w:p>
            <w:r/>
            <w:r>
              <w:rPr>
                <w:rFonts w:ascii="Calibri" w:hAnsi="Calibri"/>
                <w:b w:val="0"/>
                <w:sz w:val="19"/>
              </w:rPr>
              <w:t>Emisión inicial.</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Propósito de la plantilla</w:t>
      </w:r>
    </w:p>
    <w:p>
      <w:pPr>
        <w:spacing w:after="40"/>
      </w:pPr>
      <w:r>
        <w:rPr>
          <w:rFonts w:ascii="Calibri" w:hAnsi="Calibri"/>
          <w:color w:val="1C242E"/>
          <w:sz w:val="20"/>
        </w:rPr>
        <w:t>2. Cómo usar la plantilla</w:t>
      </w:r>
    </w:p>
    <w:p>
      <w:pPr>
        <w:spacing w:after="40"/>
      </w:pPr>
      <w:r>
        <w:rPr>
          <w:rFonts w:ascii="Calibri" w:hAnsi="Calibri"/>
          <w:color w:val="1C242E"/>
          <w:sz w:val="20"/>
        </w:rPr>
        <w:t>3. Datos de la auditoría</w:t>
      </w:r>
    </w:p>
    <w:p>
      <w:pPr>
        <w:spacing w:after="40"/>
      </w:pPr>
      <w:r>
        <w:rPr>
          <w:rFonts w:ascii="Calibri" w:hAnsi="Calibri"/>
          <w:color w:val="1C242E"/>
          <w:sz w:val="20"/>
        </w:rPr>
        <w:t>4. Alcance y criterios de auditoría</w:t>
      </w:r>
    </w:p>
    <w:p>
      <w:pPr>
        <w:spacing w:after="40"/>
      </w:pPr>
      <w:r>
        <w:rPr>
          <w:rFonts w:ascii="Calibri" w:hAnsi="Calibri"/>
          <w:color w:val="1C242E"/>
          <w:sz w:val="20"/>
        </w:rPr>
        <w:t>5. Equipo auditor</w:t>
      </w:r>
    </w:p>
    <w:p>
      <w:pPr>
        <w:spacing w:after="40"/>
      </w:pPr>
      <w:r>
        <w:rPr>
          <w:rFonts w:ascii="Calibri" w:hAnsi="Calibri"/>
          <w:color w:val="1C242E"/>
          <w:sz w:val="20"/>
        </w:rPr>
        <w:t>6. Resumen de conformidad por cláusula (4 a 10)</w:t>
      </w:r>
    </w:p>
    <w:p>
      <w:pPr>
        <w:spacing w:after="40"/>
      </w:pPr>
      <w:r>
        <w:rPr>
          <w:rFonts w:ascii="Calibri" w:hAnsi="Calibri"/>
          <w:color w:val="1C242E"/>
          <w:sz w:val="20"/>
        </w:rPr>
        <w:t>7. Hallazgos de la auditoría</w:t>
      </w:r>
    </w:p>
    <w:p>
      <w:pPr>
        <w:spacing w:after="40"/>
      </w:pPr>
      <w:r>
        <w:rPr>
          <w:rFonts w:ascii="Calibri" w:hAnsi="Calibri"/>
          <w:color w:val="1C242E"/>
          <w:sz w:val="20"/>
        </w:rPr>
        <w:t>8. Plan de cierre de hallazgos</w:t>
      </w:r>
    </w:p>
    <w:p>
      <w:pPr>
        <w:spacing w:after="40"/>
      </w:pPr>
      <w:r>
        <w:rPr>
          <w:rFonts w:ascii="Calibri" w:hAnsi="Calibri"/>
          <w:color w:val="1C242E"/>
          <w:sz w:val="20"/>
        </w:rPr>
        <w:t>9. Conclusión y dictamen</w:t>
      </w:r>
    </w:p>
    <w:p>
      <w:r>
        <w:br w:type="page"/>
      </w:r>
    </w:p>
    <w:p>
      <w:pPr>
        <w:keepNext/>
        <w:spacing w:before="280" w:after="80"/>
        <w:pBdr>
          <w:bottom w:val="single" w:sz="8" w:color="F0E528"/>
        </w:pBdr>
      </w:pPr>
      <w:r>
        <w:rPr>
          <w:rFonts w:ascii="Georgia" w:hAnsi="Georgia"/>
          <w:b/>
          <w:color w:val="0056B4"/>
          <w:sz w:val="26"/>
        </w:rPr>
        <w:t>1. Propósito de la plantilla</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Este documento es una PLANTILLA. Se entrega vacío, con la estructura y las instrucciones de llenado. La auditoría interna real se ejecuta y se registra aquí cuando el Sistema de Gestión de Calidad esté documentado, y antes de la auditoría externa de certificación.</w:t>
            </w:r>
          </w:p>
        </w:tc>
      </w:tr>
    </w:tbl>
    <w:p>
      <w:pPr>
        <w:spacing w:after="40"/>
      </w:pPr>
    </w:p>
    <w:p>
      <w:pPr>
        <w:spacing w:after="120"/>
      </w:pPr>
      <w:r>
        <w:rPr>
          <w:rFonts w:ascii="Calibri" w:hAnsi="Calibri"/>
          <w:color w:val="1C242E"/>
          <w:sz w:val="21"/>
        </w:rPr>
        <w:t>Esta plantilla da cumplimiento a la cláusula 9.2 de la norma ISO 9001:2015 y a la sección 9.2 del Manual de Calidad MC-SP-01, que establece que el SGC se audita internamente con frecuencia semestral mediante un programa de auditoría. Sirve para dejar el informe formal de cada auditoría interna: sus datos, su alcance y criterios, el equipo auditor, el resultado de conformidad por cada cláusula aplicable, los hallazgos y el plan de cierre.</w:t>
      </w:r>
    </w:p>
    <w:p>
      <w:pPr>
        <w:spacing w:after="120"/>
      </w:pPr>
      <w:r>
        <w:rPr>
          <w:rFonts w:ascii="Calibri" w:hAnsi="Calibri"/>
          <w:color w:val="1C242E"/>
          <w:sz w:val="21"/>
        </w:rPr>
        <w:t>La auditoría interna cubre todas las cláusulas aplicables del SGC, de la 4 a la 10, y se realiza antes de la auditoría externa. Su fin es verificar que el SGC cumple los requisitos de la norma y del propio manual, detectar las no conformidades y corregirlas a tiempo, de modo que la organización llegue preparada al organismo certificador.</w:t>
      </w:r>
    </w:p>
    <w:p>
      <w:pPr>
        <w:keepNext/>
        <w:spacing w:before="200" w:after="60"/>
      </w:pPr>
      <w:r>
        <w:rPr>
          <w:rFonts w:ascii="Georgia" w:hAnsi="Georgia"/>
          <w:b/>
          <w:color w:val="1C242E"/>
          <w:sz w:val="22"/>
        </w:rPr>
        <w:t>Qué produce cada auditoría interna</w:t>
      </w:r>
    </w:p>
    <w:p>
      <w:pPr>
        <w:pStyle w:val="ListBullet"/>
      </w:pPr>
      <w:r>
        <w:rPr>
          <w:rFonts w:ascii="Calibri" w:hAnsi="Calibri"/>
          <w:sz w:val="20"/>
        </w:rPr>
        <w:t>Un informe formal, en este formato, con el resultado por cláusula.</w:t>
      </w:r>
    </w:p>
    <w:p>
      <w:pPr>
        <w:pStyle w:val="ListBullet"/>
      </w:pPr>
      <w:r>
        <w:rPr>
          <w:rFonts w:ascii="Calibri" w:hAnsi="Calibri"/>
          <w:sz w:val="20"/>
        </w:rPr>
        <w:t>El registro de los hallazgos, clasificados como conformidad, no conformidad mayor, no conformidad menor u oportunidad de mejora.</w:t>
      </w:r>
    </w:p>
    <w:p>
      <w:pPr>
        <w:pStyle w:val="ListBullet"/>
      </w:pPr>
      <w:r>
        <w:rPr>
          <w:rFonts w:ascii="Calibri" w:hAnsi="Calibri"/>
          <w:sz w:val="20"/>
        </w:rPr>
        <w:t>El plan de cierre de los hallazgos, con corrección, causa raíz, acción correctiva, responsable y fecha compromiso.</w:t>
      </w:r>
    </w:p>
    <w:p>
      <w:pPr>
        <w:pStyle w:val="ListBullet"/>
      </w:pPr>
      <w:r>
        <w:rPr>
          <w:rFonts w:ascii="Calibri" w:hAnsi="Calibri"/>
          <w:sz w:val="20"/>
        </w:rPr>
        <w:t>El dictamen sobre si el SGC está listo para la auditoría externa o requiere acciones previas.</w:t>
      </w:r>
    </w:p>
    <w:p>
      <w:pPr>
        <w:spacing w:after="120"/>
      </w:pPr>
      <w:r>
        <w:rPr>
          <w:rFonts w:ascii="Calibri" w:hAnsi="Calibri"/>
          <w:color w:val="1C242E"/>
          <w:sz w:val="21"/>
        </w:rPr>
        <w:t>El informe cerrado se conserva como información documentada del SGC, según la sección 7.5 del MC-SP-01, en el hub, y alimenta la revisión por la dirección.</w:t>
      </w:r>
    </w:p>
    <w:p>
      <w:pPr>
        <w:keepNext/>
        <w:spacing w:before="280" w:after="80"/>
        <w:pBdr>
          <w:bottom w:val="single" w:sz="8" w:color="F0E528"/>
        </w:pBdr>
      </w:pPr>
      <w:r>
        <w:rPr>
          <w:rFonts w:ascii="Georgia" w:hAnsi="Georgia"/>
          <w:b/>
          <w:color w:val="0056B4"/>
          <w:sz w:val="26"/>
        </w:rPr>
        <w:t>2. Cómo usar la plantilla</w:t>
      </w:r>
    </w:p>
    <w:p>
      <w:pPr>
        <w:spacing w:after="120"/>
      </w:pPr>
      <w:r>
        <w:rPr>
          <w:rFonts w:ascii="Calibri" w:hAnsi="Calibri"/>
          <w:color w:val="1C242E"/>
          <w:sz w:val="21"/>
        </w:rPr>
        <w:t>El auditor líder llena el documento durante y al cierre de la auditoría, con los pasos siguientes:</w:t>
      </w:r>
    </w:p>
    <w:p>
      <w:pPr>
        <w:pStyle w:val="ListNumber"/>
      </w:pPr>
      <w:r>
        <w:rPr>
          <w:b/>
          <w:sz w:val="20"/>
        </w:rPr>
        <w:t xml:space="preserve">Registrar los datos de la auditoría. </w:t>
      </w:r>
      <w:r>
        <w:rPr>
          <w:rFonts w:ascii="Calibri" w:hAnsi="Calibri"/>
          <w:sz w:val="20"/>
        </w:rPr>
        <w:t>Completar la sección 3 con el número, el tipo, las fechas, los sitios y el programa de auditoría de referencia.</w:t>
      </w:r>
    </w:p>
    <w:p>
      <w:pPr>
        <w:pStyle w:val="ListNumber"/>
      </w:pPr>
      <w:r>
        <w:rPr>
          <w:b/>
          <w:sz w:val="20"/>
        </w:rPr>
        <w:t xml:space="preserve">Confirmar alcance y criterios. </w:t>
      </w:r>
      <w:r>
        <w:rPr>
          <w:rFonts w:ascii="Calibri" w:hAnsi="Calibri"/>
          <w:sz w:val="20"/>
        </w:rPr>
        <w:t>Validar en la sección 4 las cláusulas y los procesos incluidos, y los documentos que sirven de criterio.</w:t>
      </w:r>
    </w:p>
    <w:p>
      <w:pPr>
        <w:pStyle w:val="ListNumber"/>
      </w:pPr>
      <w:r>
        <w:rPr>
          <w:b/>
          <w:sz w:val="20"/>
        </w:rPr>
        <w:t xml:space="preserve">Integrar el equipo auditor. </w:t>
      </w:r>
      <w:r>
        <w:rPr>
          <w:rFonts w:ascii="Calibri" w:hAnsi="Calibri"/>
          <w:sz w:val="20"/>
        </w:rPr>
        <w:t>Anotar en la sección 5 al auditor líder y a los auditores, y verificar que ninguno audite su propia área.</w:t>
      </w:r>
    </w:p>
    <w:p>
      <w:pPr>
        <w:pStyle w:val="ListNumber"/>
      </w:pPr>
      <w:r>
        <w:rPr>
          <w:b/>
          <w:sz w:val="20"/>
        </w:rPr>
        <w:t xml:space="preserve">Calificar cada cláusula. </w:t>
      </w:r>
      <w:r>
        <w:rPr>
          <w:rFonts w:ascii="Calibri" w:hAnsi="Calibri"/>
          <w:sz w:val="20"/>
        </w:rPr>
        <w:t>Marcar en la sección 6 el resultado de la 4 a la 10, con una observación breve por cláusula.</w:t>
      </w:r>
    </w:p>
    <w:p>
      <w:pPr>
        <w:pStyle w:val="ListNumber"/>
      </w:pPr>
      <w:r>
        <w:rPr>
          <w:b/>
          <w:sz w:val="20"/>
        </w:rPr>
        <w:t xml:space="preserve">Documentar los hallazgos. </w:t>
      </w:r>
      <w:r>
        <w:rPr>
          <w:rFonts w:ascii="Calibri" w:hAnsi="Calibri"/>
          <w:sz w:val="20"/>
        </w:rPr>
        <w:t>Capturar en la sección 7 cada hallazgo con su tipo, la cláusula, el área, la descripción y la evidencia objetiva.</w:t>
      </w:r>
    </w:p>
    <w:p>
      <w:pPr>
        <w:pStyle w:val="ListNumber"/>
      </w:pPr>
      <w:r>
        <w:rPr>
          <w:b/>
          <w:sz w:val="20"/>
        </w:rPr>
        <w:t xml:space="preserve">Definir el plan de cierre. </w:t>
      </w:r>
      <w:r>
        <w:rPr>
          <w:rFonts w:ascii="Calibri" w:hAnsi="Calibri"/>
          <w:sz w:val="20"/>
        </w:rPr>
        <w:t>Registrar en la sección 8 la corrección, la causa raíz, la acción correctiva, el responsable y la fecha compromiso de cada hallazgo.</w:t>
      </w:r>
    </w:p>
    <w:p>
      <w:pPr>
        <w:pStyle w:val="ListNumber"/>
      </w:pPr>
      <w:r>
        <w:rPr>
          <w:b/>
          <w:sz w:val="20"/>
        </w:rPr>
        <w:t xml:space="preserve">Emitir el dictamen. </w:t>
      </w:r>
      <w:r>
        <w:rPr>
          <w:rFonts w:ascii="Calibri" w:hAnsi="Calibri"/>
          <w:sz w:val="20"/>
        </w:rPr>
        <w:t>Concluir en la sección 9 si el SGC está listo para la auditoría externa o requiere acciones previas, y firmar el informe.</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texto entre corchetes, como el marcador de campo por llenar, se sustituye por el dato real de la auditoría. Las filas en blanco de las tablas se llenan según el número de hallazgos; agregar o quitar filas según se necesite.</w:t>
            </w:r>
          </w:p>
        </w:tc>
      </w:tr>
    </w:tbl>
    <w:p>
      <w:pPr>
        <w:spacing w:after="40"/>
      </w:pPr>
    </w:p>
    <w:p>
      <w:pPr>
        <w:keepNext/>
        <w:spacing w:before="280" w:after="80"/>
        <w:pBdr>
          <w:bottom w:val="single" w:sz="8" w:color="F0E528"/>
        </w:pBdr>
      </w:pPr>
      <w:r>
        <w:rPr>
          <w:rFonts w:ascii="Georgia" w:hAnsi="Georgia"/>
          <w:b/>
          <w:color w:val="0056B4"/>
          <w:sz w:val="26"/>
        </w:rPr>
        <w:t>3. Datos de la auditoría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789"/>
            <w:shd w:val="clear" w:fill="0056B4"/>
          </w:tcPr>
          <w:p>
            <w:pPr>
              <w:jc w:val="center"/>
            </w:pPr>
            <w:r/>
            <w:r>
              <w:rPr>
                <w:rFonts w:ascii="Calibri" w:hAnsi="Calibri"/>
                <w:b/>
                <w:color w:val="FFFFFF"/>
                <w:sz w:val="17"/>
              </w:rPr>
              <w:t>Dato</w:t>
            </w:r>
          </w:p>
        </w:tc>
        <w:tc>
          <w:tcPr>
            <w:tcW w:type="dxa" w:w="6183"/>
            <w:shd w:val="clear" w:fill="0056B4"/>
          </w:tcPr>
          <w:p>
            <w:pPr>
              <w:jc w:val="center"/>
            </w:pPr>
            <w:r/>
            <w:r>
              <w:rPr>
                <w:rFonts w:ascii="Calibri" w:hAnsi="Calibri"/>
                <w:b/>
                <w:color w:val="FFFFFF"/>
                <w:sz w:val="17"/>
              </w:rPr>
              <w:t>Valor</w:t>
            </w:r>
          </w:p>
        </w:tc>
      </w:tr>
      <w:tr>
        <w:tc>
          <w:tcPr>
            <w:tcW w:type="dxa" w:w="3789"/>
          </w:tcPr>
          <w:p>
            <w:r/>
            <w:r>
              <w:rPr>
                <w:rFonts w:ascii="Calibri" w:hAnsi="Calibri"/>
                <w:b w:val="0"/>
                <w:sz w:val="19"/>
              </w:rPr>
              <w:t>Número de auditoría</w:t>
            </w:r>
          </w:p>
        </w:tc>
        <w:tc>
          <w:tcPr>
            <w:tcW w:type="dxa" w:w="6183"/>
          </w:tcPr>
          <w:p>
            <w:r/>
            <w:r>
              <w:rPr>
                <w:rFonts w:ascii="Calibri" w:hAnsi="Calibri"/>
                <w:b w:val="0"/>
                <w:sz w:val="19"/>
              </w:rPr>
              <w:t>[Por llenar]</w:t>
            </w:r>
          </w:p>
        </w:tc>
      </w:tr>
      <w:tr>
        <w:tc>
          <w:tcPr>
            <w:tcW w:type="dxa" w:w="3789"/>
          </w:tcPr>
          <w:p>
            <w:r/>
            <w:r>
              <w:rPr>
                <w:rFonts w:ascii="Calibri" w:hAnsi="Calibri"/>
                <w:b w:val="0"/>
                <w:sz w:val="19"/>
              </w:rPr>
              <w:t>Tipo de auditoría</w:t>
            </w:r>
          </w:p>
        </w:tc>
        <w:tc>
          <w:tcPr>
            <w:tcW w:type="dxa" w:w="6183"/>
          </w:tcPr>
          <w:p>
            <w:r/>
            <w:r>
              <w:rPr>
                <w:rFonts w:ascii="Calibri" w:hAnsi="Calibri"/>
                <w:b w:val="0"/>
                <w:sz w:val="19"/>
              </w:rPr>
              <w:t>Auditoría interna del SGC, previa a la certificación</w:t>
            </w:r>
          </w:p>
        </w:tc>
      </w:tr>
      <w:tr>
        <w:tc>
          <w:tcPr>
            <w:tcW w:type="dxa" w:w="3789"/>
          </w:tcPr>
          <w:p>
            <w:r/>
            <w:r>
              <w:rPr>
                <w:rFonts w:ascii="Calibri" w:hAnsi="Calibri"/>
                <w:b w:val="0"/>
                <w:sz w:val="19"/>
              </w:rPr>
              <w:t>Ciclo o periodo</w:t>
            </w:r>
          </w:p>
        </w:tc>
        <w:tc>
          <w:tcPr>
            <w:tcW w:type="dxa" w:w="6183"/>
          </w:tcPr>
          <w:p>
            <w:r/>
            <w:r>
              <w:rPr>
                <w:rFonts w:ascii="Calibri" w:hAnsi="Calibri"/>
                <w:b w:val="0"/>
                <w:sz w:val="19"/>
              </w:rPr>
              <w:t>[Por llenar]</w:t>
            </w:r>
          </w:p>
        </w:tc>
      </w:tr>
      <w:tr>
        <w:tc>
          <w:tcPr>
            <w:tcW w:type="dxa" w:w="3789"/>
          </w:tcPr>
          <w:p>
            <w:r/>
            <w:r>
              <w:rPr>
                <w:rFonts w:ascii="Calibri" w:hAnsi="Calibri"/>
                <w:b w:val="0"/>
                <w:sz w:val="19"/>
              </w:rPr>
              <w:t>Fecha o fechas de la auditoría</w:t>
            </w:r>
          </w:p>
        </w:tc>
        <w:tc>
          <w:tcPr>
            <w:tcW w:type="dxa" w:w="6183"/>
          </w:tcPr>
          <w:p>
            <w:r/>
            <w:r>
              <w:rPr>
                <w:rFonts w:ascii="Calibri" w:hAnsi="Calibri"/>
                <w:b w:val="0"/>
                <w:sz w:val="19"/>
              </w:rPr>
              <w:t>[Por llenar]</w:t>
            </w:r>
          </w:p>
        </w:tc>
      </w:tr>
      <w:tr>
        <w:tc>
          <w:tcPr>
            <w:tcW w:type="dxa" w:w="3789"/>
          </w:tcPr>
          <w:p>
            <w:r/>
            <w:r>
              <w:rPr>
                <w:rFonts w:ascii="Calibri" w:hAnsi="Calibri"/>
                <w:b w:val="0"/>
                <w:sz w:val="19"/>
              </w:rPr>
              <w:t>Sitios auditados</w:t>
            </w:r>
          </w:p>
        </w:tc>
        <w:tc>
          <w:tcPr>
            <w:tcW w:type="dxa" w:w="6183"/>
          </w:tcPr>
          <w:p>
            <w:r/>
            <w:r>
              <w:rPr>
                <w:rFonts w:ascii="Calibri" w:hAnsi="Calibri"/>
                <w:b w:val="0"/>
                <w:sz w:val="19"/>
              </w:rPr>
              <w:t>Chihuahua (matriz) y Ciudad Juárez</w:t>
            </w:r>
          </w:p>
        </w:tc>
      </w:tr>
      <w:tr>
        <w:tc>
          <w:tcPr>
            <w:tcW w:type="dxa" w:w="3789"/>
          </w:tcPr>
          <w:p>
            <w:r/>
            <w:r>
              <w:rPr>
                <w:rFonts w:ascii="Calibri" w:hAnsi="Calibri"/>
                <w:b w:val="0"/>
                <w:sz w:val="19"/>
              </w:rPr>
              <w:t>Áreas o procesos auditados</w:t>
            </w:r>
          </w:p>
        </w:tc>
        <w:tc>
          <w:tcPr>
            <w:tcW w:type="dxa" w:w="6183"/>
          </w:tcPr>
          <w:p>
            <w:r/>
            <w:r>
              <w:rPr>
                <w:rFonts w:ascii="Calibri" w:hAnsi="Calibri"/>
                <w:b w:val="0"/>
                <w:sz w:val="19"/>
              </w:rPr>
              <w:t>Comercial, Ingeniería, Instalación y encendido, Postventa, Administración</w:t>
            </w:r>
          </w:p>
        </w:tc>
      </w:tr>
      <w:tr>
        <w:tc>
          <w:tcPr>
            <w:tcW w:type="dxa" w:w="3789"/>
          </w:tcPr>
          <w:p>
            <w:r/>
            <w:r>
              <w:rPr>
                <w:rFonts w:ascii="Calibri" w:hAnsi="Calibri"/>
                <w:b w:val="0"/>
                <w:sz w:val="19"/>
              </w:rPr>
              <w:t>Programa de auditoría de referencia</w:t>
            </w:r>
          </w:p>
        </w:tc>
        <w:tc>
          <w:tcPr>
            <w:tcW w:type="dxa" w:w="6183"/>
          </w:tcPr>
          <w:p>
            <w:r/>
            <w:r>
              <w:rPr>
                <w:rFonts w:ascii="Calibri" w:hAnsi="Calibri"/>
                <w:b w:val="0"/>
                <w:sz w:val="19"/>
              </w:rPr>
              <w:t>[Por llenar]</w:t>
            </w:r>
          </w:p>
        </w:tc>
      </w:tr>
      <w:tr>
        <w:tc>
          <w:tcPr>
            <w:tcW w:type="dxa" w:w="3789"/>
          </w:tcPr>
          <w:p>
            <w:r/>
            <w:r>
              <w:rPr>
                <w:rFonts w:ascii="Calibri" w:hAnsi="Calibri"/>
                <w:b w:val="0"/>
                <w:sz w:val="19"/>
              </w:rPr>
              <w:t>Fecha del informe</w:t>
            </w:r>
          </w:p>
        </w:tc>
        <w:tc>
          <w:tcPr>
            <w:tcW w:type="dxa" w:w="6183"/>
          </w:tcPr>
          <w:p>
            <w:r/>
            <w:r>
              <w:rPr>
                <w:rFonts w:ascii="Calibri" w:hAnsi="Calibri"/>
                <w:b w:val="0"/>
                <w:sz w:val="19"/>
              </w:rPr>
              <w:t>[Por llenar]</w:t>
            </w:r>
          </w:p>
        </w:tc>
      </w:tr>
      <w:tr>
        <w:tc>
          <w:tcPr>
            <w:tcW w:type="dxa" w:w="3789"/>
          </w:tcPr>
          <w:p>
            <w:r/>
            <w:r>
              <w:rPr>
                <w:rFonts w:ascii="Calibri" w:hAnsi="Calibri"/>
                <w:b w:val="0"/>
                <w:sz w:val="19"/>
              </w:rPr>
              <w:t>Distribución del informe</w:t>
            </w:r>
          </w:p>
        </w:tc>
        <w:tc>
          <w:tcPr>
            <w:tcW w:type="dxa" w:w="6183"/>
          </w:tcPr>
          <w:p>
            <w:r/>
            <w:r>
              <w:rPr>
                <w:rFonts w:ascii="Calibri" w:hAnsi="Calibri"/>
                <w:b w:val="0"/>
                <w:sz w:val="19"/>
              </w:rPr>
              <w:t>Dirección General, Comité de Calidad, Gerencia Administrativa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Comité de Calidad del SGC se integra por la Dirección General, la Gerencia Comercial, la Gerencia Administrativa, la Coordinación de Ingeniería y la Coordinación de Instalaciones, según la sección 5.3 del MC-SP-01.</w:t>
            </w:r>
          </w:p>
        </w:tc>
      </w:tr>
    </w:tbl>
    <w:p>
      <w:pPr>
        <w:spacing w:after="40"/>
      </w:pPr>
    </w:p>
    <w:p>
      <w:pPr>
        <w:keepNext/>
        <w:spacing w:before="280" w:after="80"/>
        <w:pBdr>
          <w:bottom w:val="single" w:sz="8" w:color="F0E528"/>
        </w:pBdr>
      </w:pPr>
      <w:r>
        <w:rPr>
          <w:rFonts w:ascii="Georgia" w:hAnsi="Georgia"/>
          <w:b/>
          <w:color w:val="0056B4"/>
          <w:sz w:val="26"/>
        </w:rPr>
        <w:t>4. Alcance y criterios de auditoría</w:t>
      </w:r>
    </w:p>
    <w:p>
      <w:pPr>
        <w:keepNext/>
        <w:spacing w:before="200" w:after="60"/>
      </w:pPr>
      <w:r>
        <w:rPr>
          <w:rFonts w:ascii="Georgia" w:hAnsi="Georgia"/>
          <w:b/>
          <w:color w:val="1C242E"/>
          <w:sz w:val="22"/>
        </w:rPr>
        <w:t>Alcance</w:t>
      </w:r>
    </w:p>
    <w:p>
      <w:pPr>
        <w:spacing w:after="120"/>
      </w:pPr>
      <w:r>
        <w:rPr>
          <w:rFonts w:ascii="Calibri" w:hAnsi="Calibri"/>
          <w:color w:val="1C242E"/>
          <w:sz w:val="21"/>
        </w:rPr>
        <w:t>La auditoría interna cubre el Sistema de Gestión de Calidad de SolarPro en todo el ciclo del servicio: comercial, ingeniería, instalación, encendido y postventa, en la matriz de Chihuahua y en la operación de Ciudad Juárez. Auditar todas las cláusulas aplicables de la norma, de la 4 a la 10.</w:t>
      </w:r>
    </w:p>
    <w:p>
      <w:pPr>
        <w:spacing w:after="120"/>
      </w:pPr>
      <w:r>
        <w:rPr>
          <w:rFonts w:ascii="Calibri" w:hAnsi="Calibri"/>
          <w:color w:val="1C242E"/>
          <w:sz w:val="21"/>
        </w:rPr>
        <w:t>El SGC no declara exclusiones. La cláusula 8.3, Diseño y desarrollo, aplica en su totalidad, porque SolarPro diseña el sistema eléctrico y elabora la memoria de cálculo y el diagrama unifilar conforme al procedimiento PRO-ING-03. La cláusula 8.4 aplica al control de los proveedores de módulos e inversores y de las cuadrillas de instalación externas.</w:t>
      </w:r>
    </w:p>
    <w:p>
      <w:pPr>
        <w:keepNext/>
        <w:spacing w:before="200" w:after="60"/>
      </w:pPr>
      <w:r>
        <w:rPr>
          <w:rFonts w:ascii="Georgia" w:hAnsi="Georgia"/>
          <w:b/>
          <w:color w:val="1C242E"/>
          <w:sz w:val="22"/>
        </w:rPr>
        <w:t>Criterios de auditoría</w:t>
      </w:r>
    </w:p>
    <w:p>
      <w:pPr>
        <w:spacing w:after="120"/>
      </w:pPr>
      <w:r>
        <w:rPr>
          <w:rFonts w:ascii="Calibri" w:hAnsi="Calibri"/>
          <w:color w:val="1C242E"/>
          <w:sz w:val="21"/>
        </w:rPr>
        <w:t>El auditor contrasta la operación contra los criterios siguientes:</w:t>
      </w:r>
    </w:p>
    <w:p>
      <w:pPr>
        <w:pStyle w:val="ListBullet"/>
      </w:pPr>
      <w:r>
        <w:rPr>
          <w:rFonts w:ascii="Calibri" w:hAnsi="Calibri"/>
          <w:sz w:val="20"/>
        </w:rPr>
        <w:t>Norma ISO 9001:2015, requisitos de las cláusulas 4 a 10.</w:t>
      </w:r>
    </w:p>
    <w:p>
      <w:pPr>
        <w:pStyle w:val="ListBullet"/>
      </w:pPr>
      <w:r>
        <w:rPr>
          <w:rFonts w:ascii="Calibri" w:hAnsi="Calibri"/>
          <w:sz w:val="20"/>
        </w:rPr>
        <w:t>Manual de Calidad MC-SP-01 y su matriz de correlación cláusula a documento.</w:t>
      </w:r>
    </w:p>
    <w:p>
      <w:pPr>
        <w:pStyle w:val="ListBullet"/>
      </w:pPr>
      <w:r>
        <w:rPr>
          <w:rFonts w:ascii="Calibri" w:hAnsi="Calibri"/>
          <w:sz w:val="20"/>
        </w:rPr>
        <w:t>Procedimientos del SGC: proceso troncal SOL-PROC-001, Comercial (PRO-VEN), Ingeniería (PRO-ING) y Postventa (PRO-PVM), y sus formatos.</w:t>
      </w:r>
    </w:p>
    <w:p>
      <w:pPr>
        <w:pStyle w:val="ListBullet"/>
      </w:pPr>
      <w:r>
        <w:rPr>
          <w:rFonts w:ascii="Calibri" w:hAnsi="Calibri"/>
          <w:sz w:val="20"/>
        </w:rPr>
        <w:t>Políticas y perfiles de puesto vigentes en el hub.</w:t>
      </w:r>
    </w:p>
    <w:p>
      <w:pPr>
        <w:pStyle w:val="ListBullet"/>
      </w:pPr>
      <w:r>
        <w:rPr>
          <w:rFonts w:ascii="Calibri" w:hAnsi="Calibri"/>
          <w:sz w:val="20"/>
        </w:rPr>
        <w:t>Requisitos legales aplicables, en particular la NOM-001-SEDE y los requisitos de CFE para la interconexión.</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resultado de la auditoría interna es distinto del diagnóstico inicial de madurez del SGC. La auditoría verifica el cumplimiento del sistema ya documentado contra los criterios anteriores, con evidencia objetiva.</w:t>
            </w:r>
          </w:p>
        </w:tc>
      </w:tr>
    </w:tbl>
    <w:p>
      <w:pPr>
        <w:spacing w:after="40"/>
      </w:pPr>
    </w:p>
    <w:p>
      <w:pPr>
        <w:keepNext/>
        <w:spacing w:before="280" w:after="80"/>
        <w:pBdr>
          <w:bottom w:val="single" w:sz="8" w:color="F0E528"/>
        </w:pBdr>
      </w:pPr>
      <w:r>
        <w:rPr>
          <w:rFonts w:ascii="Georgia" w:hAnsi="Georgia"/>
          <w:b/>
          <w:color w:val="0056B4"/>
          <w:sz w:val="26"/>
        </w:rPr>
        <w:t>5. Equipo auditor</w:t>
      </w:r>
    </w:p>
    <w:p>
      <w:pPr>
        <w:spacing w:after="120"/>
      </w:pPr>
      <w:r>
        <w:rPr>
          <w:rFonts w:ascii="Calibri" w:hAnsi="Calibri"/>
          <w:color w:val="1C242E"/>
          <w:sz w:val="21"/>
        </w:rPr>
        <w:t>El equipo auditor se integra cuidando la independencia: ninguna persona audita el área en la que trabaja, conforme a la cláusula 9.2.2 de la norma. Cuando la organización no cuenta con auditores internos independientes suficientes, recurrir a un auditor externo de apoyo.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194"/>
            <w:shd w:val="clear" w:fill="0056B4"/>
          </w:tcPr>
          <w:p>
            <w:pPr>
              <w:jc w:val="center"/>
            </w:pPr>
            <w:r/>
            <w:r>
              <w:rPr>
                <w:rFonts w:ascii="Calibri" w:hAnsi="Calibri"/>
                <w:b/>
                <w:color w:val="FFFFFF"/>
                <w:sz w:val="17"/>
              </w:rPr>
              <w:t>Rol en la auditoría</w:t>
            </w:r>
          </w:p>
        </w:tc>
        <w:tc>
          <w:tcPr>
            <w:tcW w:type="dxa" w:w="2792"/>
            <w:shd w:val="clear" w:fill="0056B4"/>
          </w:tcPr>
          <w:p>
            <w:pPr>
              <w:jc w:val="center"/>
            </w:pPr>
            <w:r/>
            <w:r>
              <w:rPr>
                <w:rFonts w:ascii="Calibri" w:hAnsi="Calibri"/>
                <w:b/>
                <w:color w:val="FFFFFF"/>
                <w:sz w:val="17"/>
              </w:rPr>
              <w:t>Nombre</w:t>
            </w:r>
          </w:p>
        </w:tc>
        <w:tc>
          <w:tcPr>
            <w:tcW w:type="dxa" w:w="2792"/>
            <w:shd w:val="clear" w:fill="0056B4"/>
          </w:tcPr>
          <w:p>
            <w:pPr>
              <w:jc w:val="center"/>
            </w:pPr>
            <w:r/>
            <w:r>
              <w:rPr>
                <w:rFonts w:ascii="Calibri" w:hAnsi="Calibri"/>
                <w:b/>
                <w:color w:val="FFFFFF"/>
                <w:sz w:val="17"/>
              </w:rPr>
              <w:t>Puesto o área que representa</w:t>
            </w:r>
          </w:p>
        </w:tc>
        <w:tc>
          <w:tcPr>
            <w:tcW w:type="dxa" w:w="2194"/>
            <w:shd w:val="clear" w:fill="0056B4"/>
          </w:tcPr>
          <w:p>
            <w:pPr>
              <w:jc w:val="center"/>
            </w:pPr>
            <w:r/>
            <w:r>
              <w:rPr>
                <w:rFonts w:ascii="Calibri" w:hAnsi="Calibri"/>
                <w:b/>
                <w:color w:val="FFFFFF"/>
                <w:sz w:val="17"/>
              </w:rPr>
              <w:t>Área que audita</w:t>
            </w:r>
          </w:p>
        </w:tc>
      </w:tr>
      <w:tr>
        <w:tc>
          <w:tcPr>
            <w:tcW w:type="dxa" w:w="2194"/>
          </w:tcPr>
          <w:p>
            <w:r/>
            <w:r>
              <w:rPr>
                <w:rFonts w:ascii="Calibri" w:hAnsi="Calibri"/>
                <w:b w:val="0"/>
                <w:sz w:val="19"/>
              </w:rPr>
              <w:t>Auditor líder</w:t>
            </w:r>
          </w:p>
        </w:tc>
        <w:tc>
          <w:tcPr>
            <w:tcW w:type="dxa" w:w="2792"/>
          </w:tcPr>
          <w:p>
            <w:r/>
            <w:r>
              <w:rPr>
                <w:rFonts w:ascii="Calibri" w:hAnsi="Calibri"/>
                <w:b w:val="0"/>
                <w:sz w:val="19"/>
              </w:rPr>
            </w:r>
          </w:p>
        </w:tc>
        <w:tc>
          <w:tcPr>
            <w:tcW w:type="dxa" w:w="2792"/>
          </w:tcPr>
          <w:p>
            <w:r/>
            <w:r>
              <w:rPr>
                <w:rFonts w:ascii="Calibri" w:hAnsi="Calibri"/>
                <w:b w:val="0"/>
                <w:sz w:val="19"/>
              </w:rPr>
            </w:r>
          </w:p>
        </w:tc>
        <w:tc>
          <w:tcPr>
            <w:tcW w:type="dxa" w:w="2194"/>
          </w:tcPr>
          <w:p>
            <w:r/>
            <w:r>
              <w:rPr>
                <w:rFonts w:ascii="Calibri" w:hAnsi="Calibri"/>
                <w:b w:val="0"/>
                <w:sz w:val="19"/>
              </w:rPr>
            </w:r>
          </w:p>
        </w:tc>
      </w:tr>
      <w:tr>
        <w:tc>
          <w:tcPr>
            <w:tcW w:type="dxa" w:w="2194"/>
          </w:tcPr>
          <w:p>
            <w:r/>
            <w:r>
              <w:rPr>
                <w:rFonts w:ascii="Calibri" w:hAnsi="Calibri"/>
                <w:b w:val="0"/>
                <w:sz w:val="19"/>
              </w:rPr>
              <w:t>Auditor</w:t>
            </w:r>
          </w:p>
        </w:tc>
        <w:tc>
          <w:tcPr>
            <w:tcW w:type="dxa" w:w="2792"/>
          </w:tcPr>
          <w:p>
            <w:r/>
            <w:r>
              <w:rPr>
                <w:rFonts w:ascii="Calibri" w:hAnsi="Calibri"/>
                <w:b w:val="0"/>
                <w:sz w:val="19"/>
              </w:rPr>
            </w:r>
          </w:p>
        </w:tc>
        <w:tc>
          <w:tcPr>
            <w:tcW w:type="dxa" w:w="2792"/>
          </w:tcPr>
          <w:p>
            <w:r/>
            <w:r>
              <w:rPr>
                <w:rFonts w:ascii="Calibri" w:hAnsi="Calibri"/>
                <w:b w:val="0"/>
                <w:sz w:val="19"/>
              </w:rPr>
            </w:r>
          </w:p>
        </w:tc>
        <w:tc>
          <w:tcPr>
            <w:tcW w:type="dxa" w:w="2194"/>
          </w:tcPr>
          <w:p>
            <w:r/>
            <w:r>
              <w:rPr>
                <w:rFonts w:ascii="Calibri" w:hAnsi="Calibri"/>
                <w:b w:val="0"/>
                <w:sz w:val="19"/>
              </w:rPr>
            </w:r>
          </w:p>
        </w:tc>
      </w:tr>
      <w:tr>
        <w:tc>
          <w:tcPr>
            <w:tcW w:type="dxa" w:w="2194"/>
          </w:tcPr>
          <w:p>
            <w:r/>
            <w:r>
              <w:rPr>
                <w:rFonts w:ascii="Calibri" w:hAnsi="Calibri"/>
                <w:b w:val="0"/>
                <w:sz w:val="19"/>
              </w:rPr>
              <w:t>Auditor</w:t>
            </w:r>
          </w:p>
        </w:tc>
        <w:tc>
          <w:tcPr>
            <w:tcW w:type="dxa" w:w="2792"/>
          </w:tcPr>
          <w:p>
            <w:r/>
            <w:r>
              <w:rPr>
                <w:rFonts w:ascii="Calibri" w:hAnsi="Calibri"/>
                <w:b w:val="0"/>
                <w:sz w:val="19"/>
              </w:rPr>
            </w:r>
          </w:p>
        </w:tc>
        <w:tc>
          <w:tcPr>
            <w:tcW w:type="dxa" w:w="2792"/>
          </w:tcPr>
          <w:p>
            <w:r/>
            <w:r>
              <w:rPr>
                <w:rFonts w:ascii="Calibri" w:hAnsi="Calibri"/>
                <w:b w:val="0"/>
                <w:sz w:val="19"/>
              </w:rPr>
            </w:r>
          </w:p>
        </w:tc>
        <w:tc>
          <w:tcPr>
            <w:tcW w:type="dxa" w:w="2194"/>
          </w:tcPr>
          <w:p>
            <w:r/>
            <w:r>
              <w:rPr>
                <w:rFonts w:ascii="Calibri" w:hAnsi="Calibri"/>
                <w:b w:val="0"/>
                <w:sz w:val="19"/>
              </w:rPr>
            </w:r>
          </w:p>
        </w:tc>
      </w:tr>
      <w:tr>
        <w:tc>
          <w:tcPr>
            <w:tcW w:type="dxa" w:w="2194"/>
          </w:tcPr>
          <w:p>
            <w:r/>
            <w:r>
              <w:rPr>
                <w:rFonts w:ascii="Calibri" w:hAnsi="Calibri"/>
                <w:b w:val="0"/>
                <w:sz w:val="19"/>
              </w:rPr>
              <w:t>Observador</w:t>
            </w:r>
          </w:p>
        </w:tc>
        <w:tc>
          <w:tcPr>
            <w:tcW w:type="dxa" w:w="2792"/>
          </w:tcPr>
          <w:p>
            <w:r/>
            <w:r>
              <w:rPr>
                <w:rFonts w:ascii="Calibri" w:hAnsi="Calibri"/>
                <w:b w:val="0"/>
                <w:sz w:val="19"/>
              </w:rPr>
            </w:r>
          </w:p>
        </w:tc>
        <w:tc>
          <w:tcPr>
            <w:tcW w:type="dxa" w:w="2792"/>
          </w:tcPr>
          <w:p>
            <w:r/>
            <w:r>
              <w:rPr>
                <w:rFonts w:ascii="Calibri" w:hAnsi="Calibri"/>
                <w:b w:val="0"/>
                <w:sz w:val="19"/>
              </w:rPr>
            </w:r>
          </w:p>
        </w:tc>
        <w:tc>
          <w:tcPr>
            <w:tcW w:type="dxa" w:w="2194"/>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Verificar que cada auditor sea independiente del área que audita. Registrar la competencia del auditor líder como evidencia de la cláusula 7.2.</w:t>
            </w:r>
          </w:p>
        </w:tc>
      </w:tr>
    </w:tbl>
    <w:p>
      <w:pPr>
        <w:spacing w:after="40"/>
      </w:pPr>
    </w:p>
    <w:p>
      <w:pPr>
        <w:keepNext/>
        <w:spacing w:before="280" w:after="80"/>
        <w:pBdr>
          <w:bottom w:val="single" w:sz="8" w:color="F0E528"/>
        </w:pBdr>
      </w:pPr>
      <w:r>
        <w:rPr>
          <w:rFonts w:ascii="Georgia" w:hAnsi="Georgia"/>
          <w:b/>
          <w:color w:val="0056B4"/>
          <w:sz w:val="26"/>
        </w:rPr>
        <w:t>6. Resumen de conformidad por cláusula (4 a 10)</w:t>
      </w:r>
    </w:p>
    <w:p>
      <w:pPr>
        <w:spacing w:after="120"/>
      </w:pPr>
      <w:r>
        <w:rPr>
          <w:rFonts w:ascii="Calibri" w:hAnsi="Calibri"/>
          <w:color w:val="1C242E"/>
          <w:sz w:val="21"/>
        </w:rPr>
        <w:t>Registrar el resultado de cada cláusula aplicable. En la columna de resultado, usar una de estas opciones: Conforme, NC mayor, NC menor u Oportunidad de mejora. La columna de elemento del SGC indica lo que se audita en cada cláusula, según el MC-SP-01.</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2393"/>
            <w:shd w:val="clear" w:fill="0056B4"/>
          </w:tcPr>
          <w:p>
            <w:pPr>
              <w:jc w:val="center"/>
            </w:pPr>
            <w:r/>
            <w:r>
              <w:rPr>
                <w:rFonts w:ascii="Calibri" w:hAnsi="Calibri"/>
                <w:b/>
                <w:color w:val="FFFFFF"/>
                <w:sz w:val="17"/>
              </w:rPr>
              <w:t>Cláusula</w:t>
            </w:r>
          </w:p>
        </w:tc>
        <w:tc>
          <w:tcPr>
            <w:tcW w:type="dxa" w:w="3989"/>
            <w:shd w:val="clear" w:fill="0056B4"/>
          </w:tcPr>
          <w:p>
            <w:pPr>
              <w:jc w:val="center"/>
            </w:pPr>
            <w:r/>
            <w:r>
              <w:rPr>
                <w:rFonts w:ascii="Calibri" w:hAnsi="Calibri"/>
                <w:b/>
                <w:color w:val="FFFFFF"/>
                <w:sz w:val="17"/>
              </w:rPr>
              <w:t>Elemento del SGC auditado</w:t>
            </w:r>
          </w:p>
        </w:tc>
        <w:tc>
          <w:tcPr>
            <w:tcW w:type="dxa" w:w="1596"/>
            <w:shd w:val="clear" w:fill="0056B4"/>
          </w:tcPr>
          <w:p>
            <w:pPr>
              <w:jc w:val="center"/>
            </w:pPr>
            <w:r/>
            <w:r>
              <w:rPr>
                <w:rFonts w:ascii="Calibri" w:hAnsi="Calibri"/>
                <w:b/>
                <w:color w:val="FFFFFF"/>
                <w:sz w:val="17"/>
              </w:rPr>
              <w:t>Resultado</w:t>
            </w:r>
          </w:p>
        </w:tc>
        <w:tc>
          <w:tcPr>
            <w:tcW w:type="dxa" w:w="1994"/>
            <w:shd w:val="clear" w:fill="0056B4"/>
          </w:tcPr>
          <w:p>
            <w:pPr>
              <w:jc w:val="center"/>
            </w:pPr>
            <w:r/>
            <w:r>
              <w:rPr>
                <w:rFonts w:ascii="Calibri" w:hAnsi="Calibri"/>
                <w:b/>
                <w:color w:val="FFFFFF"/>
                <w:sz w:val="17"/>
              </w:rPr>
              <w:t>Observaciones</w:t>
            </w:r>
          </w:p>
        </w:tc>
      </w:tr>
      <w:tr>
        <w:tc>
          <w:tcPr>
            <w:tcW w:type="dxa" w:w="2393"/>
          </w:tcPr>
          <w:p>
            <w:r/>
            <w:r>
              <w:rPr>
                <w:rFonts w:ascii="Calibri" w:hAnsi="Calibri"/>
                <w:b w:val="0"/>
                <w:sz w:val="19"/>
              </w:rPr>
              <w:t>4. Contexto de la organización</w:t>
            </w:r>
          </w:p>
        </w:tc>
        <w:tc>
          <w:tcPr>
            <w:tcW w:type="dxa" w:w="3989"/>
          </w:tcPr>
          <w:p>
            <w:r/>
            <w:r>
              <w:rPr>
                <w:rFonts w:ascii="Calibri" w:hAnsi="Calibri"/>
                <w:b w:val="0"/>
                <w:sz w:val="19"/>
              </w:rPr>
              <w:t>Cuestiones internas y externas, partes interesadas, alcance sin exclusiones y mapa de procesos.</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5. Liderazgo</w:t>
            </w:r>
          </w:p>
        </w:tc>
        <w:tc>
          <w:tcPr>
            <w:tcW w:type="dxa" w:w="3989"/>
          </w:tcPr>
          <w:p>
            <w:r/>
            <w:r>
              <w:rPr>
                <w:rFonts w:ascii="Calibri" w:hAnsi="Calibri"/>
                <w:b w:val="0"/>
                <w:sz w:val="19"/>
              </w:rPr>
              <w:t>Compromiso de la dirección, Comité de Calidad, Política de Calidad, roles y autoridades.</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6. Planificación</w:t>
            </w:r>
          </w:p>
        </w:tc>
        <w:tc>
          <w:tcPr>
            <w:tcW w:type="dxa" w:w="3989"/>
          </w:tcPr>
          <w:p>
            <w:r/>
            <w:r>
              <w:rPr>
                <w:rFonts w:ascii="Calibri" w:hAnsi="Calibri"/>
                <w:b w:val="0"/>
                <w:sz w:val="19"/>
              </w:rPr>
              <w:t>Matriz de riesgos y oportunidades, objetivos de calidad y planificación de cambios.</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7. Apoyo</w:t>
            </w:r>
          </w:p>
        </w:tc>
        <w:tc>
          <w:tcPr>
            <w:tcW w:type="dxa" w:w="3989"/>
          </w:tcPr>
          <w:p>
            <w:r/>
            <w:r>
              <w:rPr>
                <w:rFonts w:ascii="Calibri" w:hAnsi="Calibri"/>
                <w:b w:val="0"/>
                <w:sz w:val="19"/>
              </w:rPr>
              <w:t>Recursos y calibración, competencia y conciencia, comunicación e información documentada en el hub.</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8. Operación</w:t>
            </w:r>
          </w:p>
        </w:tc>
        <w:tc>
          <w:tcPr>
            <w:tcW w:type="dxa" w:w="3989"/>
          </w:tcPr>
          <w:p>
            <w:r/>
            <w:r>
              <w:rPr>
                <w:rFonts w:ascii="Calibri" w:hAnsi="Calibri"/>
                <w:b w:val="0"/>
                <w:sz w:val="19"/>
              </w:rPr>
              <w:t>Requisitos del cliente, diseño (8.3), proveedores y procesos externos (8.4), liberación y salidas no conformes.</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9. Evaluación del desempeño</w:t>
            </w:r>
          </w:p>
        </w:tc>
        <w:tc>
          <w:tcPr>
            <w:tcW w:type="dxa" w:w="3989"/>
          </w:tcPr>
          <w:p>
            <w:r/>
            <w:r>
              <w:rPr>
                <w:rFonts w:ascii="Calibri" w:hAnsi="Calibri"/>
                <w:b w:val="0"/>
                <w:sz w:val="19"/>
              </w:rPr>
              <w:t>Satisfacción del cliente, auditoría interna y revisión por la dirección.</w:t>
            </w:r>
          </w:p>
        </w:tc>
        <w:tc>
          <w:tcPr>
            <w:tcW w:type="dxa" w:w="1596"/>
          </w:tcPr>
          <w:p>
            <w:r/>
            <w:r>
              <w:rPr>
                <w:rFonts w:ascii="Calibri" w:hAnsi="Calibri"/>
                <w:b w:val="0"/>
                <w:sz w:val="19"/>
              </w:rPr>
            </w:r>
          </w:p>
        </w:tc>
        <w:tc>
          <w:tcPr>
            <w:tcW w:type="dxa" w:w="1994"/>
          </w:tcPr>
          <w:p>
            <w:r/>
            <w:r>
              <w:rPr>
                <w:rFonts w:ascii="Calibri" w:hAnsi="Calibri"/>
                <w:b w:val="0"/>
                <w:sz w:val="19"/>
              </w:rPr>
            </w:r>
          </w:p>
        </w:tc>
      </w:tr>
      <w:tr>
        <w:tc>
          <w:tcPr>
            <w:tcW w:type="dxa" w:w="2393"/>
          </w:tcPr>
          <w:p>
            <w:r/>
            <w:r>
              <w:rPr>
                <w:rFonts w:ascii="Calibri" w:hAnsi="Calibri"/>
                <w:b w:val="0"/>
                <w:sz w:val="19"/>
              </w:rPr>
              <w:t>10. Mejora</w:t>
            </w:r>
          </w:p>
        </w:tc>
        <w:tc>
          <w:tcPr>
            <w:tcW w:type="dxa" w:w="3989"/>
          </w:tcPr>
          <w:p>
            <w:r/>
            <w:r>
              <w:rPr>
                <w:rFonts w:ascii="Calibri" w:hAnsi="Calibri"/>
                <w:b w:val="0"/>
                <w:sz w:val="19"/>
              </w:rPr>
              <w:t>No conformidad y acción correctiva, y mejora continua.</w:t>
            </w:r>
          </w:p>
        </w:tc>
        <w:tc>
          <w:tcPr>
            <w:tcW w:type="dxa" w:w="1596"/>
          </w:tcPr>
          <w:p>
            <w:r/>
            <w:r>
              <w:rPr>
                <w:rFonts w:ascii="Calibri" w:hAnsi="Calibri"/>
                <w:b w:val="0"/>
                <w:sz w:val="19"/>
              </w:rPr>
            </w:r>
          </w:p>
        </w:tc>
        <w:tc>
          <w:tcPr>
            <w:tcW w:type="dxa" w:w="1994"/>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objetivo de calidad principal que se verifica en la cláusula 6 es la satisfacción del cliente, con meta igual o mayor al 90 por ciento, según la sección 6.2 del MC-SP-01.</w:t>
            </w:r>
          </w:p>
        </w:tc>
      </w:tr>
    </w:tbl>
    <w:p>
      <w:pPr>
        <w:spacing w:after="40"/>
      </w:pPr>
    </w:p>
    <w:p>
      <w:pPr>
        <w:keepNext/>
        <w:spacing w:before="280" w:after="80"/>
        <w:pBdr>
          <w:bottom w:val="single" w:sz="8" w:color="F0E528"/>
        </w:pBdr>
      </w:pPr>
      <w:r>
        <w:rPr>
          <w:rFonts w:ascii="Georgia" w:hAnsi="Georgia"/>
          <w:b/>
          <w:color w:val="0056B4"/>
          <w:sz w:val="26"/>
        </w:rPr>
        <w:t>7. Hallazgos de la auditoría</w:t>
      </w:r>
    </w:p>
    <w:p>
      <w:pPr>
        <w:spacing w:after="120"/>
      </w:pPr>
      <w:r>
        <w:rPr>
          <w:rFonts w:ascii="Calibri" w:hAnsi="Calibri"/>
          <w:color w:val="1C242E"/>
          <w:sz w:val="21"/>
        </w:rPr>
        <w:t>Cada hallazgo se clasifica en uno de estos cuatro tipos: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792"/>
            <w:shd w:val="clear" w:fill="0056B4"/>
          </w:tcPr>
          <w:p>
            <w:pPr>
              <w:jc w:val="center"/>
            </w:pPr>
            <w:r/>
            <w:r>
              <w:rPr>
                <w:rFonts w:ascii="Calibri" w:hAnsi="Calibri"/>
                <w:b/>
                <w:color w:val="FFFFFF"/>
                <w:sz w:val="17"/>
              </w:rPr>
              <w:t>Tipo de hallazgo</w:t>
            </w:r>
          </w:p>
        </w:tc>
        <w:tc>
          <w:tcPr>
            <w:tcW w:type="dxa" w:w="7180"/>
            <w:shd w:val="clear" w:fill="0056B4"/>
          </w:tcPr>
          <w:p>
            <w:pPr>
              <w:jc w:val="center"/>
            </w:pPr>
            <w:r/>
            <w:r>
              <w:rPr>
                <w:rFonts w:ascii="Calibri" w:hAnsi="Calibri"/>
                <w:b/>
                <w:color w:val="FFFFFF"/>
                <w:sz w:val="17"/>
              </w:rPr>
              <w:t>Qué significa</w:t>
            </w:r>
          </w:p>
        </w:tc>
      </w:tr>
      <w:tr>
        <w:tc>
          <w:tcPr>
            <w:tcW w:type="dxa" w:w="2792"/>
          </w:tcPr>
          <w:p>
            <w:r/>
            <w:r>
              <w:rPr>
                <w:rFonts w:ascii="Calibri" w:hAnsi="Calibri"/>
                <w:b w:val="0"/>
                <w:sz w:val="19"/>
              </w:rPr>
              <w:t>Conformidad</w:t>
            </w:r>
          </w:p>
        </w:tc>
        <w:tc>
          <w:tcPr>
            <w:tcW w:type="dxa" w:w="7180"/>
          </w:tcPr>
          <w:p>
            <w:r/>
            <w:r>
              <w:rPr>
                <w:rFonts w:ascii="Calibri" w:hAnsi="Calibri"/>
                <w:b w:val="0"/>
                <w:sz w:val="19"/>
              </w:rPr>
              <w:t>El requisito se cumple y hay evidencia objetiva que lo respalda.</w:t>
            </w:r>
          </w:p>
        </w:tc>
      </w:tr>
      <w:tr>
        <w:tc>
          <w:tcPr>
            <w:tcW w:type="dxa" w:w="2792"/>
          </w:tcPr>
          <w:p>
            <w:r/>
            <w:r>
              <w:rPr>
                <w:rFonts w:ascii="Calibri" w:hAnsi="Calibri"/>
                <w:b w:val="0"/>
                <w:sz w:val="19"/>
              </w:rPr>
              <w:t>No conformidad mayor</w:t>
            </w:r>
          </w:p>
        </w:tc>
        <w:tc>
          <w:tcPr>
            <w:tcW w:type="dxa" w:w="7180"/>
          </w:tcPr>
          <w:p>
            <w:r/>
            <w:r>
              <w:rPr>
                <w:rFonts w:ascii="Calibri" w:hAnsi="Calibri"/>
                <w:b w:val="0"/>
                <w:sz w:val="19"/>
              </w:rPr>
              <w:t>Ausencia o falla total de un requisito, o incumplimiento que compromete la capacidad del SGC para asegurar la conformidad del servicio. Impide la certificación hasta su cierre.</w:t>
            </w:r>
          </w:p>
        </w:tc>
      </w:tr>
      <w:tr>
        <w:tc>
          <w:tcPr>
            <w:tcW w:type="dxa" w:w="2792"/>
          </w:tcPr>
          <w:p>
            <w:r/>
            <w:r>
              <w:rPr>
                <w:rFonts w:ascii="Calibri" w:hAnsi="Calibri"/>
                <w:b w:val="0"/>
                <w:sz w:val="19"/>
              </w:rPr>
              <w:t>No conformidad menor</w:t>
            </w:r>
          </w:p>
        </w:tc>
        <w:tc>
          <w:tcPr>
            <w:tcW w:type="dxa" w:w="7180"/>
          </w:tcPr>
          <w:p>
            <w:r/>
            <w:r>
              <w:rPr>
                <w:rFonts w:ascii="Calibri" w:hAnsi="Calibri"/>
                <w:b w:val="0"/>
                <w:sz w:val="19"/>
              </w:rPr>
              <w:t>Incumplimiento puntual o desviación aislada que no compromete el conjunto del SGC. Requiere corrección y acción correctiva.</w:t>
            </w:r>
          </w:p>
        </w:tc>
      </w:tr>
      <w:tr>
        <w:tc>
          <w:tcPr>
            <w:tcW w:type="dxa" w:w="2792"/>
          </w:tcPr>
          <w:p>
            <w:r/>
            <w:r>
              <w:rPr>
                <w:rFonts w:ascii="Calibri" w:hAnsi="Calibri"/>
                <w:b w:val="0"/>
                <w:sz w:val="19"/>
              </w:rPr>
              <w:t>Oportunidad de mejora</w:t>
            </w:r>
          </w:p>
        </w:tc>
        <w:tc>
          <w:tcPr>
            <w:tcW w:type="dxa" w:w="7180"/>
          </w:tcPr>
          <w:p>
            <w:r/>
            <w:r>
              <w:rPr>
                <w:rFonts w:ascii="Calibri" w:hAnsi="Calibri"/>
                <w:b w:val="0"/>
                <w:sz w:val="19"/>
              </w:rPr>
              <w:t>El requisito se cumple, pero existe una posibilidad de fortalecer el sistema. No es una no conformidad.</w:t>
            </w:r>
          </w:p>
        </w:tc>
      </w:tr>
    </w:tbl>
    <w:p>
      <w:pPr>
        <w:spacing w:after="120"/>
      </w:pPr>
      <w:r>
        <w:rPr>
          <w:rFonts w:ascii="Calibri" w:hAnsi="Calibri"/>
          <w:color w:val="1C242E"/>
          <w:sz w:val="21"/>
        </w:rPr>
        <w:t>Registrar cada hallazgo detectado en la tabla siguiente, con su evidencia objetiva, es decir el registro, documento u observación que lo sustenta: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662"/>
        <w:gridCol w:w="1662"/>
        <w:gridCol w:w="1662"/>
        <w:gridCol w:w="1662"/>
        <w:gridCol w:w="1662"/>
        <w:gridCol w:w="1662"/>
      </w:tblGrid>
      <w:tr>
        <w:tc>
          <w:tcPr>
            <w:tcW w:type="dxa" w:w="499"/>
            <w:shd w:val="clear" w:fill="0056B4"/>
          </w:tcPr>
          <w:p>
            <w:pPr>
              <w:jc w:val="center"/>
            </w:pPr>
            <w:r/>
            <w:r>
              <w:rPr>
                <w:rFonts w:ascii="Calibri" w:hAnsi="Calibri"/>
                <w:b/>
                <w:color w:val="FFFFFF"/>
                <w:sz w:val="17"/>
              </w:rPr>
              <w:t>No.</w:t>
            </w:r>
          </w:p>
        </w:tc>
        <w:tc>
          <w:tcPr>
            <w:tcW w:type="dxa" w:w="1097"/>
            <w:shd w:val="clear" w:fill="0056B4"/>
          </w:tcPr>
          <w:p>
            <w:pPr>
              <w:jc w:val="center"/>
            </w:pPr>
            <w:r/>
            <w:r>
              <w:rPr>
                <w:rFonts w:ascii="Calibri" w:hAnsi="Calibri"/>
                <w:b/>
                <w:color w:val="FFFFFF"/>
                <w:sz w:val="17"/>
              </w:rPr>
              <w:t>Cláusula</w:t>
            </w:r>
          </w:p>
        </w:tc>
        <w:tc>
          <w:tcPr>
            <w:tcW w:type="dxa" w:w="1396"/>
            <w:shd w:val="clear" w:fill="0056B4"/>
          </w:tcPr>
          <w:p>
            <w:pPr>
              <w:jc w:val="center"/>
            </w:pPr>
            <w:r/>
            <w:r>
              <w:rPr>
                <w:rFonts w:ascii="Calibri" w:hAnsi="Calibri"/>
                <w:b/>
                <w:color w:val="FFFFFF"/>
                <w:sz w:val="17"/>
              </w:rPr>
              <w:t>Área o proceso</w:t>
            </w:r>
          </w:p>
        </w:tc>
        <w:tc>
          <w:tcPr>
            <w:tcW w:type="dxa" w:w="1396"/>
            <w:shd w:val="clear" w:fill="0056B4"/>
          </w:tcPr>
          <w:p>
            <w:pPr>
              <w:jc w:val="center"/>
            </w:pPr>
            <w:r/>
            <w:r>
              <w:rPr>
                <w:rFonts w:ascii="Calibri" w:hAnsi="Calibri"/>
                <w:b/>
                <w:color w:val="FFFFFF"/>
                <w:sz w:val="17"/>
              </w:rPr>
              <w:t>Tipo</w:t>
            </w:r>
          </w:p>
        </w:tc>
        <w:tc>
          <w:tcPr>
            <w:tcW w:type="dxa" w:w="3191"/>
            <w:shd w:val="clear" w:fill="0056B4"/>
          </w:tcPr>
          <w:p>
            <w:pPr>
              <w:jc w:val="center"/>
            </w:pPr>
            <w:r/>
            <w:r>
              <w:rPr>
                <w:rFonts w:ascii="Calibri" w:hAnsi="Calibri"/>
                <w:b/>
                <w:color w:val="FFFFFF"/>
                <w:sz w:val="17"/>
              </w:rPr>
              <w:t>Descripción del hallazgo</w:t>
            </w:r>
          </w:p>
        </w:tc>
        <w:tc>
          <w:tcPr>
            <w:tcW w:type="dxa" w:w="2393"/>
            <w:shd w:val="clear" w:fill="0056B4"/>
          </w:tcPr>
          <w:p>
            <w:pPr>
              <w:jc w:val="center"/>
            </w:pPr>
            <w:r/>
            <w:r>
              <w:rPr>
                <w:rFonts w:ascii="Calibri" w:hAnsi="Calibri"/>
                <w:b/>
                <w:color w:val="FFFFFF"/>
                <w:sz w:val="17"/>
              </w:rPr>
              <w:t>Evidencia objetiva</w:t>
            </w:r>
          </w:p>
        </w:tc>
      </w:tr>
      <w:tr>
        <w:tc>
          <w:tcPr>
            <w:tcW w:type="dxa" w:w="499"/>
          </w:tcPr>
          <w:p>
            <w:r/>
            <w:r>
              <w:rPr>
                <w:rFonts w:ascii="Calibri" w:hAnsi="Calibri"/>
                <w:b w:val="0"/>
                <w:sz w:val="19"/>
              </w:rPr>
              <w:t>1</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2</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3</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4</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5</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6</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7</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r>
        <w:tc>
          <w:tcPr>
            <w:tcW w:type="dxa" w:w="499"/>
          </w:tcPr>
          <w:p>
            <w:r/>
            <w:r>
              <w:rPr>
                <w:rFonts w:ascii="Calibri" w:hAnsi="Calibri"/>
                <w:b w:val="0"/>
                <w:sz w:val="19"/>
              </w:rPr>
              <w:t>8</w:t>
            </w:r>
          </w:p>
        </w:tc>
        <w:tc>
          <w:tcPr>
            <w:tcW w:type="dxa" w:w="1097"/>
          </w:tcPr>
          <w:p>
            <w:r/>
            <w:r>
              <w:rPr>
                <w:rFonts w:ascii="Calibri" w:hAnsi="Calibri"/>
                <w:b w:val="0"/>
                <w:sz w:val="19"/>
              </w:rPr>
            </w:r>
          </w:p>
        </w:tc>
        <w:tc>
          <w:tcPr>
            <w:tcW w:type="dxa" w:w="1396"/>
          </w:tcPr>
          <w:p>
            <w:r/>
            <w:r>
              <w:rPr>
                <w:rFonts w:ascii="Calibri" w:hAnsi="Calibri"/>
                <w:b w:val="0"/>
                <w:sz w:val="19"/>
              </w:rPr>
            </w:r>
          </w:p>
        </w:tc>
        <w:tc>
          <w:tcPr>
            <w:tcW w:type="dxa" w:w="1396"/>
          </w:tcPr>
          <w:p>
            <w:r/>
            <w:r>
              <w:rPr>
                <w:rFonts w:ascii="Calibri" w:hAnsi="Calibri"/>
                <w:b w:val="0"/>
                <w:sz w:val="19"/>
              </w:rPr>
            </w:r>
          </w:p>
        </w:tc>
        <w:tc>
          <w:tcPr>
            <w:tcW w:type="dxa" w:w="3191"/>
          </w:tcPr>
          <w:p>
            <w:r/>
            <w:r>
              <w:rPr>
                <w:rFonts w:ascii="Calibri" w:hAnsi="Calibri"/>
                <w:b w:val="0"/>
                <w:sz w:val="19"/>
              </w:rPr>
            </w:r>
          </w:p>
        </w:tc>
        <w:tc>
          <w:tcPr>
            <w:tcW w:type="dxa" w:w="2393"/>
          </w:tcPr>
          <w:p>
            <w:r/>
            <w:r>
              <w:rPr>
                <w:rFonts w:ascii="Calibri" w:hAnsi="Calibri"/>
                <w:b w:val="0"/>
                <w:sz w:val="19"/>
              </w:rPr>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Numerar los hallazgos de forma correlativa. El mismo número se usa en el plan de cierre de la sección 8 para dar seguimiento a cada hallazgo hasta su cierre.</w:t>
            </w:r>
          </w:p>
        </w:tc>
      </w:tr>
    </w:tbl>
    <w:p>
      <w:pPr>
        <w:spacing w:after="40"/>
      </w:pPr>
    </w:p>
    <w:p>
      <w:pPr>
        <w:keepNext/>
        <w:spacing w:before="280" w:after="80"/>
        <w:pBdr>
          <w:bottom w:val="single" w:sz="8" w:color="F0E528"/>
        </w:pBdr>
      </w:pPr>
      <w:r>
        <w:rPr>
          <w:rFonts w:ascii="Georgia" w:hAnsi="Georgia"/>
          <w:b/>
          <w:color w:val="0056B4"/>
          <w:sz w:val="26"/>
        </w:rPr>
        <w:t>8. Plan de cierre de hallazgos</w:t>
      </w:r>
    </w:p>
    <w:p>
      <w:pPr>
        <w:spacing w:after="120"/>
      </w:pPr>
      <w:r>
        <w:rPr>
          <w:rFonts w:ascii="Calibri" w:hAnsi="Calibri"/>
          <w:color w:val="1C242E"/>
          <w:sz w:val="21"/>
        </w:rPr>
        <w:t>Para cada no conformidad y cada oportunidad de mejora que se decida atender, definir la corrección inmediata, el análisis de la causa raíz, la acción correctiva que evita la recurrencia, el responsable por rol y la fecha compromiso. El análisis de causa raíz sigue el criterio de la sección 10.2 del MC-SP-01.</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246"/>
        <w:gridCol w:w="1246"/>
        <w:gridCol w:w="1246"/>
        <w:gridCol w:w="1246"/>
        <w:gridCol w:w="1246"/>
        <w:gridCol w:w="1246"/>
        <w:gridCol w:w="1246"/>
        <w:gridCol w:w="1246"/>
      </w:tblGrid>
      <w:tr>
        <w:tc>
          <w:tcPr>
            <w:tcW w:type="dxa" w:w="499"/>
            <w:shd w:val="clear" w:fill="0056B4"/>
          </w:tcPr>
          <w:p>
            <w:pPr>
              <w:jc w:val="center"/>
            </w:pPr>
            <w:r/>
            <w:r>
              <w:rPr>
                <w:rFonts w:ascii="Calibri" w:hAnsi="Calibri"/>
                <w:b/>
                <w:color w:val="FFFFFF"/>
                <w:sz w:val="17"/>
              </w:rPr>
              <w:t>No.</w:t>
            </w:r>
          </w:p>
        </w:tc>
        <w:tc>
          <w:tcPr>
            <w:tcW w:type="dxa" w:w="1596"/>
            <w:shd w:val="clear" w:fill="0056B4"/>
          </w:tcPr>
          <w:p>
            <w:pPr>
              <w:jc w:val="center"/>
            </w:pPr>
            <w:r/>
            <w:r>
              <w:rPr>
                <w:rFonts w:ascii="Calibri" w:hAnsi="Calibri"/>
                <w:b/>
                <w:color w:val="FFFFFF"/>
                <w:sz w:val="17"/>
              </w:rPr>
              <w:t>Corrección inmediata</w:t>
            </w:r>
          </w:p>
        </w:tc>
        <w:tc>
          <w:tcPr>
            <w:tcW w:type="dxa" w:w="1496"/>
            <w:shd w:val="clear" w:fill="0056B4"/>
          </w:tcPr>
          <w:p>
            <w:pPr>
              <w:jc w:val="center"/>
            </w:pPr>
            <w:r/>
            <w:r>
              <w:rPr>
                <w:rFonts w:ascii="Calibri" w:hAnsi="Calibri"/>
                <w:b/>
                <w:color w:val="FFFFFF"/>
                <w:sz w:val="17"/>
              </w:rPr>
              <w:t>Causa raíz</w:t>
            </w:r>
          </w:p>
        </w:tc>
        <w:tc>
          <w:tcPr>
            <w:tcW w:type="dxa" w:w="1795"/>
            <w:shd w:val="clear" w:fill="0056B4"/>
          </w:tcPr>
          <w:p>
            <w:pPr>
              <w:jc w:val="center"/>
            </w:pPr>
            <w:r/>
            <w:r>
              <w:rPr>
                <w:rFonts w:ascii="Calibri" w:hAnsi="Calibri"/>
                <w:b/>
                <w:color w:val="FFFFFF"/>
                <w:sz w:val="17"/>
              </w:rPr>
              <w:t>Acción correctiva</w:t>
            </w:r>
          </w:p>
        </w:tc>
        <w:tc>
          <w:tcPr>
            <w:tcW w:type="dxa" w:w="1396"/>
            <w:shd w:val="clear" w:fill="0056B4"/>
          </w:tcPr>
          <w:p>
            <w:pPr>
              <w:jc w:val="center"/>
            </w:pPr>
            <w:r/>
            <w:r>
              <w:rPr>
                <w:rFonts w:ascii="Calibri" w:hAnsi="Calibri"/>
                <w:b/>
                <w:color w:val="FFFFFF"/>
                <w:sz w:val="17"/>
              </w:rPr>
              <w:t>Responsable (rol)</w:t>
            </w:r>
          </w:p>
        </w:tc>
        <w:tc>
          <w:tcPr>
            <w:tcW w:type="dxa" w:w="997"/>
            <w:shd w:val="clear" w:fill="0056B4"/>
          </w:tcPr>
          <w:p>
            <w:pPr>
              <w:jc w:val="center"/>
            </w:pPr>
            <w:r/>
            <w:r>
              <w:rPr>
                <w:rFonts w:ascii="Calibri" w:hAnsi="Calibri"/>
                <w:b/>
                <w:color w:val="FFFFFF"/>
                <w:sz w:val="17"/>
              </w:rPr>
              <w:t>Fecha compromiso</w:t>
            </w:r>
          </w:p>
        </w:tc>
        <w:tc>
          <w:tcPr>
            <w:tcW w:type="dxa" w:w="997"/>
            <w:shd w:val="clear" w:fill="0056B4"/>
          </w:tcPr>
          <w:p>
            <w:pPr>
              <w:jc w:val="center"/>
            </w:pPr>
            <w:r/>
            <w:r>
              <w:rPr>
                <w:rFonts w:ascii="Calibri" w:hAnsi="Calibri"/>
                <w:b/>
                <w:color w:val="FFFFFF"/>
                <w:sz w:val="17"/>
              </w:rPr>
              <w:t>Estado</w:t>
            </w:r>
          </w:p>
        </w:tc>
        <w:tc>
          <w:tcPr>
            <w:tcW w:type="dxa" w:w="1197"/>
            <w:shd w:val="clear" w:fill="0056B4"/>
          </w:tcPr>
          <w:p>
            <w:pPr>
              <w:jc w:val="center"/>
            </w:pPr>
            <w:r/>
            <w:r>
              <w:rPr>
                <w:rFonts w:ascii="Calibri" w:hAnsi="Calibri"/>
                <w:b/>
                <w:color w:val="FFFFFF"/>
                <w:sz w:val="17"/>
              </w:rPr>
              <w:t>Eficacia verificada</w:t>
            </w:r>
          </w:p>
        </w:tc>
      </w:tr>
      <w:tr>
        <w:tc>
          <w:tcPr>
            <w:tcW w:type="dxa" w:w="499"/>
          </w:tcPr>
          <w:p>
            <w:r/>
            <w:r>
              <w:rPr>
                <w:rFonts w:ascii="Calibri" w:hAnsi="Calibri"/>
                <w:b w:val="0"/>
                <w:sz w:val="19"/>
              </w:rPr>
              <w:t>1</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r>
        <w:tc>
          <w:tcPr>
            <w:tcW w:type="dxa" w:w="499"/>
          </w:tcPr>
          <w:p>
            <w:r/>
            <w:r>
              <w:rPr>
                <w:rFonts w:ascii="Calibri" w:hAnsi="Calibri"/>
                <w:b w:val="0"/>
                <w:sz w:val="19"/>
              </w:rPr>
              <w:t>2</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r>
        <w:tc>
          <w:tcPr>
            <w:tcW w:type="dxa" w:w="499"/>
          </w:tcPr>
          <w:p>
            <w:r/>
            <w:r>
              <w:rPr>
                <w:rFonts w:ascii="Calibri" w:hAnsi="Calibri"/>
                <w:b w:val="0"/>
                <w:sz w:val="19"/>
              </w:rPr>
              <w:t>3</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r>
        <w:tc>
          <w:tcPr>
            <w:tcW w:type="dxa" w:w="499"/>
          </w:tcPr>
          <w:p>
            <w:r/>
            <w:r>
              <w:rPr>
                <w:rFonts w:ascii="Calibri" w:hAnsi="Calibri"/>
                <w:b w:val="0"/>
                <w:sz w:val="19"/>
              </w:rPr>
              <w:t>4</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r>
        <w:tc>
          <w:tcPr>
            <w:tcW w:type="dxa" w:w="499"/>
          </w:tcPr>
          <w:p>
            <w:r/>
            <w:r>
              <w:rPr>
                <w:rFonts w:ascii="Calibri" w:hAnsi="Calibri"/>
                <w:b w:val="0"/>
                <w:sz w:val="19"/>
              </w:rPr>
              <w:t>5</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r>
        <w:tc>
          <w:tcPr>
            <w:tcW w:type="dxa" w:w="499"/>
          </w:tcPr>
          <w:p>
            <w:r/>
            <w:r>
              <w:rPr>
                <w:rFonts w:ascii="Calibri" w:hAnsi="Calibri"/>
                <w:b w:val="0"/>
                <w:sz w:val="19"/>
              </w:rPr>
              <w:t>6</w:t>
            </w:r>
          </w:p>
        </w:tc>
        <w:tc>
          <w:tcPr>
            <w:tcW w:type="dxa" w:w="1596"/>
          </w:tcPr>
          <w:p>
            <w:r/>
            <w:r>
              <w:rPr>
                <w:rFonts w:ascii="Calibri" w:hAnsi="Calibri"/>
                <w:b w:val="0"/>
                <w:sz w:val="19"/>
              </w:rPr>
            </w:r>
          </w:p>
        </w:tc>
        <w:tc>
          <w:tcPr>
            <w:tcW w:type="dxa" w:w="1496"/>
          </w:tcPr>
          <w:p>
            <w:r/>
            <w:r>
              <w:rPr>
                <w:rFonts w:ascii="Calibri" w:hAnsi="Calibri"/>
                <w:b w:val="0"/>
                <w:sz w:val="19"/>
              </w:rPr>
            </w:r>
          </w:p>
        </w:tc>
        <w:tc>
          <w:tcPr>
            <w:tcW w:type="dxa" w:w="1795"/>
          </w:tcPr>
          <w:p>
            <w:r/>
            <w:r>
              <w:rPr>
                <w:rFonts w:ascii="Calibri" w:hAnsi="Calibri"/>
                <w:b w:val="0"/>
                <w:sz w:val="19"/>
              </w:rPr>
            </w:r>
          </w:p>
        </w:tc>
        <w:tc>
          <w:tcPr>
            <w:tcW w:type="dxa" w:w="1396"/>
          </w:tcPr>
          <w:p>
            <w:r/>
            <w:r>
              <w:rPr>
                <w:rFonts w:ascii="Calibri" w:hAnsi="Calibri"/>
                <w:b w:val="0"/>
                <w:sz w:val="19"/>
              </w:rPr>
            </w:r>
          </w:p>
        </w:tc>
        <w:tc>
          <w:tcPr>
            <w:tcW w:type="dxa" w:w="997"/>
          </w:tcPr>
          <w:p>
            <w:r/>
            <w:r>
              <w:rPr>
                <w:rFonts w:ascii="Calibri" w:hAnsi="Calibri"/>
                <w:b w:val="0"/>
                <w:sz w:val="19"/>
              </w:rPr>
            </w:r>
          </w:p>
        </w:tc>
        <w:tc>
          <w:tcPr>
            <w:tcW w:type="dxa" w:w="997"/>
          </w:tcPr>
          <w:p>
            <w:r/>
            <w:r>
              <w:rPr>
                <w:rFonts w:ascii="Calibri" w:hAnsi="Calibri"/>
                <w:b w:val="0"/>
                <w:sz w:val="19"/>
              </w:rPr>
            </w:r>
          </w:p>
        </w:tc>
        <w:tc>
          <w:tcPr>
            <w:tcW w:type="dxa" w:w="1197"/>
          </w:tcPr>
          <w:p>
            <w:r/>
            <w:r>
              <w:rPr>
                <w:rFonts w:ascii="Calibri" w:hAnsi="Calibri"/>
                <w:b w:val="0"/>
                <w:sz w:val="19"/>
              </w:rPr>
            </w:r>
          </w:p>
        </w:tc>
      </w:tr>
    </w:tbl>
    <w:p>
      <w:pPr>
        <w:keepNext/>
        <w:spacing w:before="200" w:after="60"/>
      </w:pPr>
      <w:r>
        <w:rPr>
          <w:rFonts w:ascii="Georgia" w:hAnsi="Georgia"/>
          <w:b/>
          <w:color w:val="1C242E"/>
          <w:sz w:val="22"/>
        </w:rPr>
        <w:t>Criterio de tiempos y de cierre</w:t>
      </w:r>
    </w:p>
    <w:p>
      <w:pPr>
        <w:pStyle w:val="ListBullet"/>
      </w:pPr>
      <w:r>
        <w:rPr>
          <w:rFonts w:ascii="Calibri" w:hAnsi="Calibri"/>
          <w:sz w:val="20"/>
        </w:rPr>
        <w:t>No conformidad mayor: definir la acción correctiva y cerrarla antes de la auditoría externa; su cierre es condición para la certificación.</w:t>
      </w:r>
    </w:p>
    <w:p>
      <w:pPr>
        <w:pStyle w:val="ListBullet"/>
      </w:pPr>
      <w:r>
        <w:rPr>
          <w:rFonts w:ascii="Calibri" w:hAnsi="Calibri"/>
          <w:sz w:val="20"/>
        </w:rPr>
        <w:t>No conformidad menor: acordar una fecha compromiso realista y dar seguimiento en el Comité de Calidad hasta cerrarla.</w:t>
      </w:r>
    </w:p>
    <w:p>
      <w:pPr>
        <w:pStyle w:val="ListBullet"/>
      </w:pPr>
      <w:r>
        <w:rPr>
          <w:rFonts w:ascii="Calibri" w:hAnsi="Calibri"/>
          <w:sz w:val="20"/>
        </w:rPr>
        <w:t>Oportunidad de mejora: la dirección decide si se atiende y en qué plazo.</w:t>
      </w:r>
    </w:p>
    <w:p>
      <w:pPr>
        <w:spacing w:after="120"/>
      </w:pPr>
      <w:r>
        <w:rPr>
          <w:rFonts w:ascii="Calibri" w:hAnsi="Calibri"/>
          <w:color w:val="1C242E"/>
          <w:sz w:val="21"/>
        </w:rPr>
        <w:t>El estado de cada hallazgo se marca como abierto, en proceso o cerrado. Un hallazgo se cierra solo cuando se verifica la eficacia de la acción correctiva, es decir cuando hay evidencia de que la causa raíz se eliminó y el problema no se repite. El seguimiento del plan de cierre es una entrada de la revisión por la dirección, según la sección 9.3 del MC-SP-01.</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los responsables por rol de cada acción correctiva y las fechas compromiso se definen al ejecutar la auditoría, en función de los hallazgos reales. La designación del auditor líder y la fecha de la primera auditoría interna las confirma la Dirección General.]</w:t>
            </w:r>
          </w:p>
        </w:tc>
      </w:tr>
    </w:tbl>
    <w:p>
      <w:pPr>
        <w:spacing w:after="40"/>
      </w:pPr>
    </w:p>
    <w:p>
      <w:pPr>
        <w:keepNext/>
        <w:spacing w:before="280" w:after="80"/>
        <w:pBdr>
          <w:bottom w:val="single" w:sz="8" w:color="F0E528"/>
        </w:pBdr>
      </w:pPr>
      <w:r>
        <w:rPr>
          <w:rFonts w:ascii="Georgia" w:hAnsi="Georgia"/>
          <w:b/>
          <w:color w:val="0056B4"/>
          <w:sz w:val="26"/>
        </w:rPr>
        <w:t>9. Conclusión y dictamen</w:t>
      </w:r>
    </w:p>
    <w:p>
      <w:pPr>
        <w:spacing w:after="120"/>
      </w:pPr>
      <w:r>
        <w:rPr>
          <w:rFonts w:ascii="Calibri" w:hAnsi="Calibri"/>
          <w:color w:val="1C242E"/>
          <w:sz w:val="21"/>
        </w:rPr>
        <w:t>Al cierre de la auditoría, resumir el conteo de hallazgos por tipo y emitir el dictamen sobre la preparación del SGC para la auditoría externa: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5485"/>
            <w:shd w:val="clear" w:fill="0056B4"/>
          </w:tcPr>
          <w:p>
            <w:pPr>
              <w:jc w:val="center"/>
            </w:pPr>
            <w:r/>
            <w:r>
              <w:rPr>
                <w:rFonts w:ascii="Calibri" w:hAnsi="Calibri"/>
                <w:b/>
                <w:color w:val="FFFFFF"/>
                <w:sz w:val="17"/>
              </w:rPr>
              <w:t>Concepto</w:t>
            </w:r>
          </w:p>
        </w:tc>
        <w:tc>
          <w:tcPr>
            <w:tcW w:type="dxa" w:w="4487"/>
            <w:shd w:val="clear" w:fill="0056B4"/>
          </w:tcPr>
          <w:p>
            <w:pPr>
              <w:jc w:val="center"/>
            </w:pPr>
            <w:r/>
            <w:r>
              <w:rPr>
                <w:rFonts w:ascii="Calibri" w:hAnsi="Calibri"/>
                <w:b/>
                <w:color w:val="FFFFFF"/>
                <w:sz w:val="17"/>
              </w:rPr>
              <w:t>Resultado</w:t>
            </w:r>
          </w:p>
        </w:tc>
      </w:tr>
      <w:tr>
        <w:tc>
          <w:tcPr>
            <w:tcW w:type="dxa" w:w="5485"/>
          </w:tcPr>
          <w:p>
            <w:r/>
            <w:r>
              <w:rPr>
                <w:rFonts w:ascii="Calibri" w:hAnsi="Calibri"/>
                <w:b w:val="0"/>
                <w:sz w:val="19"/>
              </w:rPr>
              <w:t>No conformidades mayores</w:t>
            </w:r>
          </w:p>
        </w:tc>
        <w:tc>
          <w:tcPr>
            <w:tcW w:type="dxa" w:w="4487"/>
          </w:tcPr>
          <w:p>
            <w:r/>
            <w:r>
              <w:rPr>
                <w:rFonts w:ascii="Calibri" w:hAnsi="Calibri"/>
                <w:b w:val="0"/>
                <w:sz w:val="19"/>
              </w:rPr>
              <w:t>[Por llenar]</w:t>
            </w:r>
          </w:p>
        </w:tc>
      </w:tr>
      <w:tr>
        <w:tc>
          <w:tcPr>
            <w:tcW w:type="dxa" w:w="5485"/>
          </w:tcPr>
          <w:p>
            <w:r/>
            <w:r>
              <w:rPr>
                <w:rFonts w:ascii="Calibri" w:hAnsi="Calibri"/>
                <w:b w:val="0"/>
                <w:sz w:val="19"/>
              </w:rPr>
              <w:t>No conformidades menores</w:t>
            </w:r>
          </w:p>
        </w:tc>
        <w:tc>
          <w:tcPr>
            <w:tcW w:type="dxa" w:w="4487"/>
          </w:tcPr>
          <w:p>
            <w:r/>
            <w:r>
              <w:rPr>
                <w:rFonts w:ascii="Calibri" w:hAnsi="Calibri"/>
                <w:b w:val="0"/>
                <w:sz w:val="19"/>
              </w:rPr>
              <w:t>[Por llenar]</w:t>
            </w:r>
          </w:p>
        </w:tc>
      </w:tr>
      <w:tr>
        <w:tc>
          <w:tcPr>
            <w:tcW w:type="dxa" w:w="5485"/>
          </w:tcPr>
          <w:p>
            <w:r/>
            <w:r>
              <w:rPr>
                <w:rFonts w:ascii="Calibri" w:hAnsi="Calibri"/>
                <w:b w:val="0"/>
                <w:sz w:val="19"/>
              </w:rPr>
              <w:t>Oportunidades de mejora</w:t>
            </w:r>
          </w:p>
        </w:tc>
        <w:tc>
          <w:tcPr>
            <w:tcW w:type="dxa" w:w="4487"/>
          </w:tcPr>
          <w:p>
            <w:r/>
            <w:r>
              <w:rPr>
                <w:rFonts w:ascii="Calibri" w:hAnsi="Calibri"/>
                <w:b w:val="0"/>
                <w:sz w:val="19"/>
              </w:rPr>
              <w:t>[Por llenar]</w:t>
            </w:r>
          </w:p>
        </w:tc>
      </w:tr>
      <w:tr>
        <w:tc>
          <w:tcPr>
            <w:tcW w:type="dxa" w:w="5485"/>
          </w:tcPr>
          <w:p>
            <w:r/>
            <w:r>
              <w:rPr>
                <w:rFonts w:ascii="Calibri" w:hAnsi="Calibri"/>
                <w:b w:val="0"/>
                <w:sz w:val="19"/>
              </w:rPr>
              <w:t>Cláusulas conformes (de 7)</w:t>
            </w:r>
          </w:p>
        </w:tc>
        <w:tc>
          <w:tcPr>
            <w:tcW w:type="dxa" w:w="4487"/>
          </w:tcPr>
          <w:p>
            <w:r/>
            <w:r>
              <w:rPr>
                <w:rFonts w:ascii="Calibri" w:hAnsi="Calibri"/>
                <w:b w:val="0"/>
                <w:sz w:val="19"/>
              </w:rPr>
              <w:t>[Por llenar]</w:t>
            </w:r>
          </w:p>
        </w:tc>
      </w:tr>
      <w:tr>
        <w:tc>
          <w:tcPr>
            <w:tcW w:type="dxa" w:w="5485"/>
          </w:tcPr>
          <w:p>
            <w:r/>
            <w:r>
              <w:rPr>
                <w:rFonts w:ascii="Calibri" w:hAnsi="Calibri"/>
                <w:b w:val="0"/>
                <w:sz w:val="19"/>
              </w:rPr>
              <w:t>Dictamen del SGC</w:t>
            </w:r>
          </w:p>
        </w:tc>
        <w:tc>
          <w:tcPr>
            <w:tcW w:type="dxa" w:w="4487"/>
          </w:tcPr>
          <w:p>
            <w:r/>
            <w:r>
              <w:rPr>
                <w:rFonts w:ascii="Calibri" w:hAnsi="Calibri"/>
                <w:b w:val="0"/>
                <w:sz w:val="19"/>
              </w:rPr>
              <w:t>Listo para auditoría externa  /  Requiere acciones previas</w:t>
            </w:r>
          </w:p>
        </w:tc>
      </w:tr>
    </w:tbl>
    <w:p>
      <w:pPr>
        <w:spacing w:after="120"/>
      </w:pPr>
      <w:r>
        <w:rPr>
          <w:rFonts w:ascii="Calibri" w:hAnsi="Calibri"/>
          <w:color w:val="1C242E"/>
          <w:sz w:val="21"/>
        </w:rPr>
        <w:t>Registrar la conclusión del auditor líder, con la recomendación a la Dirección General y al Comité de Calidad sobre los pasos a seguir antes de la auditoría externa de certificación:</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Conclusión del auditor líder: [Por llenar al cierre de la auditoría].</w:t>
            </w:r>
          </w:p>
        </w:tc>
      </w:tr>
    </w:tbl>
    <w:p>
      <w:pPr>
        <w:spacing w:after="40"/>
      </w:pPr>
    </w:p>
    <w:p>
      <w:pPr>
        <w:spacing w:after="120"/>
      </w:pPr>
      <w:r>
        <w:rPr>
          <w:rFonts w:ascii="Calibri" w:hAnsi="Calibri"/>
          <w:color w:val="1C242E"/>
          <w:sz w:val="21"/>
        </w:rPr>
        <w:t>El informe se firma por el auditor líder, se revisa por la Gerencia Administrativa como custodio del SGC y se aprueba por la Dirección General. El documento firmado se resguarda en el hub como evidencia de la cláusula 9.2.</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Auditor líder</w:t>
            </w:r>
          </w:p>
        </w:tc>
        <w:tc>
          <w:tcPr>
            <w:tcW w:type="dxa" w:w="3324"/>
          </w:tcPr>
          <w:p>
            <w:pPr>
              <w:jc w:val="center"/>
            </w:pPr>
            <w:r/>
            <w:r>
              <w:rPr>
                <w:rFonts w:ascii="Calibri" w:hAnsi="Calibri"/>
                <w:b w:val="0"/>
                <w:color w:val="595959"/>
                <w:sz w:val="17"/>
              </w:rPr>
              <w:t>Revisó (Gerencia Administrativa)</w:t>
            </w:r>
          </w:p>
        </w:tc>
        <w:tc>
          <w:tcPr>
            <w:tcW w:type="dxa" w:w="3324"/>
          </w:tcPr>
          <w:p>
            <w:pPr>
              <w:jc w:val="center"/>
            </w:pPr>
            <w:r/>
            <w:r>
              <w:rPr>
                <w:rFonts w:ascii="Calibri" w:hAnsi="Calibri"/>
                <w:b w:val="0"/>
                <w:color w:val="595959"/>
                <w:sz w:val="17"/>
              </w:rPr>
              <w:t>Aprobó (Dirección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Informe de Auditoría Interna · INF-AI-001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