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Manual de Calidad</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MC-SP-01  ·  Versión 1.0  ·  Septiembre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MC-SP-01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1.0</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Septiembre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 con la Gerencia Administrativa</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1.0</w:t>
            </w:r>
          </w:p>
        </w:tc>
        <w:tc>
          <w:tcPr>
            <w:tcW w:type="dxa" w:w="1596"/>
          </w:tcPr>
          <w:p>
            <w:r/>
            <w:r>
              <w:rPr>
                <w:rFonts w:ascii="Calibri" w:hAnsi="Calibri"/>
                <w:b w:val="0"/>
                <w:sz w:val="19"/>
              </w:rPr>
              <w:t>Septiembre 2026</w:t>
            </w:r>
          </w:p>
        </w:tc>
        <w:tc>
          <w:tcPr>
            <w:tcW w:type="dxa" w:w="5584"/>
          </w:tcPr>
          <w:p>
            <w:r/>
            <w:r>
              <w:rPr>
                <w:rFonts w:ascii="Calibri" w:hAnsi="Calibri"/>
                <w:b w:val="0"/>
                <w:sz w:val="19"/>
              </w:rPr>
              <w:t>Emisión inicial. Redactado a partir del levantamiento del SGC y del diagnóstico ISO. La cadencia de revisión del manual se confirma en la primera revisión por la dirección.</w:t>
            </w:r>
          </w:p>
        </w:tc>
        <w:tc>
          <w:tcPr>
            <w:tcW w:type="dxa" w:w="1596"/>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0. Introducción y perfil de la organización</w:t>
      </w:r>
    </w:p>
    <w:p>
      <w:pPr>
        <w:spacing w:after="40"/>
      </w:pPr>
      <w:r>
        <w:rPr>
          <w:rFonts w:ascii="Calibri" w:hAnsi="Calibri"/>
          <w:color w:val="1C242E"/>
          <w:sz w:val="20"/>
        </w:rPr>
        <w:t>1. Alcance del manual</w:t>
      </w:r>
    </w:p>
    <w:p>
      <w:pPr>
        <w:spacing w:after="40"/>
      </w:pPr>
      <w:r>
        <w:rPr>
          <w:rFonts w:ascii="Calibri" w:hAnsi="Calibri"/>
          <w:color w:val="1C242E"/>
          <w:sz w:val="20"/>
        </w:rPr>
        <w:t>2. Referencias normativas</w:t>
      </w:r>
    </w:p>
    <w:p>
      <w:pPr>
        <w:spacing w:after="40"/>
      </w:pPr>
      <w:r>
        <w:rPr>
          <w:rFonts w:ascii="Calibri" w:hAnsi="Calibri"/>
          <w:color w:val="1C242E"/>
          <w:sz w:val="20"/>
        </w:rPr>
        <w:t>3. Términos, definiciones y abreviaturas</w:t>
      </w:r>
    </w:p>
    <w:p>
      <w:pPr>
        <w:spacing w:after="40"/>
      </w:pPr>
      <w:r>
        <w:rPr>
          <w:rFonts w:ascii="Calibri" w:hAnsi="Calibri"/>
          <w:color w:val="1C242E"/>
          <w:sz w:val="20"/>
        </w:rPr>
        <w:t>4. Contexto de la organización</w:t>
      </w:r>
    </w:p>
    <w:p>
      <w:pPr>
        <w:spacing w:after="40"/>
      </w:pPr>
      <w:r>
        <w:rPr>
          <w:rFonts w:ascii="Calibri" w:hAnsi="Calibri"/>
          <w:color w:val="1C242E"/>
          <w:sz w:val="20"/>
        </w:rPr>
        <w:t>5. Liderazgo</w:t>
      </w:r>
    </w:p>
    <w:p>
      <w:pPr>
        <w:spacing w:after="40"/>
      </w:pPr>
      <w:r>
        <w:rPr>
          <w:rFonts w:ascii="Calibri" w:hAnsi="Calibri"/>
          <w:color w:val="1C242E"/>
          <w:sz w:val="20"/>
        </w:rPr>
        <w:t>6. Planificación</w:t>
      </w:r>
    </w:p>
    <w:p>
      <w:pPr>
        <w:spacing w:after="40"/>
      </w:pPr>
      <w:r>
        <w:rPr>
          <w:rFonts w:ascii="Calibri" w:hAnsi="Calibri"/>
          <w:color w:val="1C242E"/>
          <w:sz w:val="20"/>
        </w:rPr>
        <w:t>7. Apoyo</w:t>
      </w:r>
    </w:p>
    <w:p>
      <w:pPr>
        <w:spacing w:after="40"/>
      </w:pPr>
      <w:r>
        <w:rPr>
          <w:rFonts w:ascii="Calibri" w:hAnsi="Calibri"/>
          <w:color w:val="1C242E"/>
          <w:sz w:val="20"/>
        </w:rPr>
        <w:t>8. Operación</w:t>
      </w:r>
    </w:p>
    <w:p>
      <w:pPr>
        <w:spacing w:after="40"/>
      </w:pPr>
      <w:r>
        <w:rPr>
          <w:rFonts w:ascii="Calibri" w:hAnsi="Calibri"/>
          <w:color w:val="1C242E"/>
          <w:sz w:val="20"/>
        </w:rPr>
        <w:t>9. Evaluación del desempeño</w:t>
      </w:r>
    </w:p>
    <w:p>
      <w:pPr>
        <w:spacing w:after="40"/>
      </w:pPr>
      <w:r>
        <w:rPr>
          <w:rFonts w:ascii="Calibri" w:hAnsi="Calibri"/>
          <w:color w:val="1C242E"/>
          <w:sz w:val="20"/>
        </w:rPr>
        <w:t>10. Mejora</w:t>
      </w:r>
    </w:p>
    <w:p>
      <w:pPr>
        <w:spacing w:after="40"/>
      </w:pPr>
      <w:r>
        <w:rPr>
          <w:rFonts w:ascii="Calibri" w:hAnsi="Calibri"/>
          <w:color w:val="1C242E"/>
          <w:sz w:val="20"/>
        </w:rPr>
        <w:t>Anexos</w:t>
      </w:r>
    </w:p>
    <w:p>
      <w:r>
        <w:br w:type="page"/>
      </w:r>
    </w:p>
    <w:p>
      <w:pPr>
        <w:keepNext/>
        <w:spacing w:before="280" w:after="80"/>
        <w:pBdr>
          <w:bottom w:val="single" w:sz="8" w:color="F0E528"/>
        </w:pBdr>
      </w:pPr>
      <w:r>
        <w:rPr>
          <w:rFonts w:ascii="Georgia" w:hAnsi="Georgia"/>
          <w:b/>
          <w:color w:val="0056B4"/>
          <w:sz w:val="26"/>
        </w:rPr>
        <w:t>0. Introducción y perfil de la organización</w:t>
      </w:r>
    </w:p>
    <w:p>
      <w:pPr>
        <w:spacing w:after="120"/>
      </w:pPr>
      <w:r>
        <w:rPr>
          <w:rFonts w:ascii="Calibri" w:hAnsi="Calibri"/>
          <w:color w:val="1C242E"/>
          <w:sz w:val="21"/>
        </w:rPr>
        <w:t>Este Manual de Calidad describe el Sistema de Gestión de Calidad (SGC) de SolarPro conforme a la norma ISO 9001:2015. Es el punto único de referencia del SGC: sirve para el ingreso de nuevo personal, para responder a clientes y licitaciones que lo exigen, y para agilizar las auditorías. Se mantiene corto y claro, y remite a los procedimientos, políticas, perfiles y formatos que ya viven en el repositorio documental del SGC.</w:t>
      </w:r>
    </w:p>
    <w:p>
      <w:pPr>
        <w:keepNext/>
        <w:spacing w:before="200" w:after="60"/>
      </w:pPr>
      <w:r>
        <w:rPr>
          <w:rFonts w:ascii="Georgia" w:hAnsi="Georgia"/>
          <w:b/>
          <w:color w:val="1C242E"/>
          <w:sz w:val="22"/>
        </w:rPr>
        <w:t>Perfil de la organización</w:t>
      </w:r>
    </w:p>
    <w:p>
      <w:pPr>
        <w:spacing w:after="120"/>
      </w:pPr>
      <w:r>
        <w:rPr>
          <w:rFonts w:ascii="Calibri" w:hAnsi="Calibri"/>
          <w:color w:val="1C242E"/>
          <w:sz w:val="21"/>
        </w:rPr>
        <w:t>SolarPro, marca comercial de Soluciones Energéticas JEA S.A. de C.V., se dedica al diseño e instalación de sistemas solares fotovoltaicos para los sectores residencial, comercial e industrial. Nació en noviembre de 2015 a partir de la empresa de iluminación Iluminova, que pivoteó hacia la energía solar conforme el mercado lo pidió y tras la decisión de la Dirección de orientar el negocio a la sustentabilidad. Hoy opera con 44 personas, 35 en Chihuahua y 9 en Ciudad Juárez, y atiende los mercados residencial, comercial, industrial y de gobierno o licitaciones.</w:t>
      </w:r>
    </w:p>
    <w:p>
      <w:pPr>
        <w:spacing w:after="120"/>
      </w:pPr>
      <w:r>
        <w:rPr>
          <w:rFonts w:ascii="Calibri" w:hAnsi="Calibri"/>
          <w:color w:val="1C242E"/>
          <w:sz w:val="21"/>
        </w:rPr>
        <w:t>El rasgo que distingue a SolarPro es que resuelve el ciclo completo del proyecto solar dentro de una sola empresa, de forma integrada y formal: propuesta comercial, ingeniería, instalación, encendido, tramitología ante CFE y administración, además de ofrecer al cliente opciones de financiamiento con bancos y arrendadoras. El cliente recibe un sistema funcionando y un interlocutor único, no un conjunto de proveedores sueltos que coordinar.</w:t>
      </w:r>
    </w:p>
    <w:p>
      <w:pPr>
        <w:keepNext/>
        <w:spacing w:before="200" w:after="60"/>
      </w:pPr>
      <w:r>
        <w:rPr>
          <w:rFonts w:ascii="Georgia" w:hAnsi="Georgia"/>
          <w:b/>
          <w:color w:val="1C242E"/>
          <w:sz w:val="22"/>
        </w:rPr>
        <w:t>Principios de gestión de la calidad</w:t>
      </w:r>
    </w:p>
    <w:p>
      <w:pPr>
        <w:spacing w:after="120"/>
      </w:pPr>
      <w:r>
        <w:rPr>
          <w:rFonts w:ascii="Calibri" w:hAnsi="Calibri"/>
          <w:color w:val="1C242E"/>
          <w:sz w:val="21"/>
        </w:rPr>
        <w:t>El SGC se apoya en los siete principios de la norma ISO 9001:2015: enfoque al cliente, liderazgo, compromiso de las personas, enfoque a procesos, mejora, toma de decisiones basada en la evidencia y gestión de las relaciones.</w:t>
      </w:r>
    </w:p>
    <w:p>
      <w:pPr>
        <w:keepNext/>
        <w:spacing w:before="200" w:after="60"/>
      </w:pPr>
      <w:r>
        <w:rPr>
          <w:rFonts w:ascii="Georgia" w:hAnsi="Georgia"/>
          <w:b/>
          <w:color w:val="1C242E"/>
          <w:sz w:val="22"/>
        </w:rPr>
        <w:t>Enfoque a procesos, ciclo PHVA y pensamiento basado en riesgos</w:t>
      </w:r>
    </w:p>
    <w:p>
      <w:pPr>
        <w:spacing w:after="120"/>
      </w:pPr>
      <w:r>
        <w:rPr>
          <w:rFonts w:ascii="Calibri" w:hAnsi="Calibri"/>
          <w:color w:val="1C242E"/>
          <w:sz w:val="21"/>
        </w:rPr>
        <w:t>El SGC opera bajo el enfoque a procesos y el ciclo Planificar, Hacer, Verificar y Actuar (PHVA), e incorpora el pensamiento basado en riesgos para anticipar lo que puede afectar la conformidad del servicio y la satisfacción del cliente. El mapa de procesos se detalla en la sección 4.4.</w:t>
      </w:r>
    </w:p>
    <w:p>
      <w:pPr>
        <w:keepNext/>
        <w:spacing w:before="200" w:after="60"/>
      </w:pPr>
      <w:r>
        <w:rPr>
          <w:rFonts w:ascii="Georgia" w:hAnsi="Georgia"/>
          <w:b/>
          <w:color w:val="1C242E"/>
          <w:sz w:val="22"/>
        </w:rPr>
        <w:t>Misión, visión y valores</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La misión, la visión y los valores de SolarPro se están co-creando con la Dirección mediante un cuestionario específico, con opciones aterrizadas y no aspiracionales. Al cerrarse, se integran en esta sección y sirven de marco para la política de calidad (sección 5.2).</w:t>
            </w:r>
          </w:p>
        </w:tc>
      </w:tr>
    </w:tbl>
    <w:p>
      <w:pPr>
        <w:spacing w:after="40"/>
      </w:pPr>
    </w:p>
    <w:p>
      <w:pPr>
        <w:keepNext/>
        <w:spacing w:before="280" w:after="80"/>
        <w:pBdr>
          <w:bottom w:val="single" w:sz="8" w:color="F0E528"/>
        </w:pBdr>
      </w:pPr>
      <w:r>
        <w:rPr>
          <w:rFonts w:ascii="Georgia" w:hAnsi="Georgia"/>
          <w:b/>
          <w:color w:val="0056B4"/>
          <w:sz w:val="26"/>
        </w:rPr>
        <w:t>1. Alcance del manual</w:t>
      </w:r>
    </w:p>
    <w:p>
      <w:pPr>
        <w:spacing w:after="120"/>
      </w:pPr>
      <w:r>
        <w:rPr>
          <w:rFonts w:ascii="Calibri" w:hAnsi="Calibri"/>
          <w:color w:val="1C242E"/>
          <w:sz w:val="21"/>
        </w:rPr>
        <w:t>Este manual aplica al Sistema de Gestión de Calidad de SolarPro y cubre todo el ciclo del servicio: comercial, ingeniería, instalación, encendido y postventa. Aplica a la matriz en Chihuahua y a la operación en Ciudad Juárez, para los sectores residencial, comercial e industrial, incluyendo proyectos de gobierno y licitaciones.</w:t>
      </w:r>
    </w:p>
    <w:p>
      <w:pPr>
        <w:keepNext/>
        <w:spacing w:before="280" w:after="80"/>
        <w:pBdr>
          <w:bottom w:val="single" w:sz="8" w:color="F0E528"/>
        </w:pBdr>
      </w:pPr>
      <w:r>
        <w:rPr>
          <w:rFonts w:ascii="Georgia" w:hAnsi="Georgia"/>
          <w:b/>
          <w:color w:val="0056B4"/>
          <w:sz w:val="26"/>
        </w:rPr>
        <w:t>2. Referencias normativas</w:t>
      </w:r>
    </w:p>
    <w:p>
      <w:pPr>
        <w:pStyle w:val="ListBullet"/>
      </w:pPr>
      <w:r>
        <w:rPr>
          <w:rFonts w:ascii="Calibri" w:hAnsi="Calibri"/>
          <w:sz w:val="20"/>
        </w:rPr>
        <w:t>ISO 9001:2015, Sistemas de Gestión de la Calidad, requisitos.</w:t>
      </w:r>
    </w:p>
    <w:p>
      <w:pPr>
        <w:pStyle w:val="ListBullet"/>
      </w:pPr>
      <w:r>
        <w:rPr>
          <w:rFonts w:ascii="Calibri" w:hAnsi="Calibri"/>
          <w:sz w:val="20"/>
        </w:rPr>
        <w:t>NOM-001-SEDE, Instalaciones eléctricas (utilización), en particular las disposiciones de sistemas solares fotovoltaicos y de interconexión.</w:t>
      </w:r>
    </w:p>
    <w:p>
      <w:pPr>
        <w:pStyle w:val="ListBullet"/>
      </w:pPr>
      <w:r>
        <w:rPr>
          <w:rFonts w:ascii="Calibri" w:hAnsi="Calibri"/>
          <w:sz w:val="20"/>
        </w:rPr>
        <w:t>Marco legal vigente del sector eléctrico y disposiciones aplicables a la generación distribuida.</w:t>
      </w:r>
    </w:p>
    <w:p>
      <w:pPr>
        <w:pStyle w:val="ListBullet"/>
      </w:pPr>
      <w:r>
        <w:rPr>
          <w:rFonts w:ascii="Calibri" w:hAnsi="Calibri"/>
          <w:sz w:val="20"/>
        </w:rPr>
        <w:t>Contrato de interconexión con CFE Distribución y esquemas de compensación aplicables.</w:t>
      </w:r>
    </w:p>
    <w:p>
      <w:pPr>
        <w:pStyle w:val="ListBullet"/>
      </w:pPr>
      <w:r>
        <w:rPr>
          <w:rFonts w:ascii="Calibri" w:hAnsi="Calibri"/>
          <w:sz w:val="20"/>
        </w:rPr>
        <w:t>Normas técnicas aplicables a los equipos de interconexión, incluida la protección anti-isla, conforme al expediente ante CFE.</w:t>
      </w:r>
    </w:p>
    <w:p>
      <w:pPr>
        <w:pStyle w:val="ListBullet"/>
      </w:pPr>
      <w:r>
        <w:rPr>
          <w:rFonts w:ascii="Calibri" w:hAnsi="Calibri"/>
          <w:sz w:val="20"/>
        </w:rPr>
        <w:t>Documentos internos del SGC: proceso troncal SOL-PROC-001, procedimientos de Ingeniería (PRO-ING), Comercial (PRO-VEN) y Postventa (PRO-PVM), políticas, perfiles de puesto y formatos, disponibles en el repositorio documental del hub.</w:t>
      </w:r>
    </w:p>
    <w:p>
      <w:pPr>
        <w:keepNext/>
        <w:spacing w:before="280" w:after="80"/>
        <w:pBdr>
          <w:bottom w:val="single" w:sz="8" w:color="F0E528"/>
        </w:pBdr>
      </w:pPr>
      <w:r>
        <w:rPr>
          <w:rFonts w:ascii="Georgia" w:hAnsi="Georgia"/>
          <w:b/>
          <w:color w:val="0056B4"/>
          <w:sz w:val="26"/>
        </w:rPr>
        <w:t>3. Términos,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593"/>
            <w:shd w:val="clear" w:fill="0056B4"/>
          </w:tcPr>
          <w:p>
            <w:pPr>
              <w:jc w:val="center"/>
            </w:pPr>
            <w:r/>
            <w:r>
              <w:rPr>
                <w:rFonts w:ascii="Calibri" w:hAnsi="Calibri"/>
                <w:b/>
                <w:color w:val="FFFFFF"/>
                <w:sz w:val="17"/>
              </w:rPr>
              <w:t>Término</w:t>
            </w:r>
          </w:p>
        </w:tc>
        <w:tc>
          <w:tcPr>
            <w:tcW w:type="dxa" w:w="7379"/>
            <w:shd w:val="clear" w:fill="0056B4"/>
          </w:tcPr>
          <w:p>
            <w:pPr>
              <w:jc w:val="center"/>
            </w:pPr>
            <w:r/>
            <w:r>
              <w:rPr>
                <w:rFonts w:ascii="Calibri" w:hAnsi="Calibri"/>
                <w:b/>
                <w:color w:val="FFFFFF"/>
                <w:sz w:val="17"/>
              </w:rPr>
              <w:t>Definición</w:t>
            </w:r>
          </w:p>
        </w:tc>
      </w:tr>
      <w:tr>
        <w:tc>
          <w:tcPr>
            <w:tcW w:type="dxa" w:w="2593"/>
          </w:tcPr>
          <w:p>
            <w:r/>
            <w:r>
              <w:rPr>
                <w:rFonts w:ascii="Calibri" w:hAnsi="Calibri"/>
                <w:b w:val="0"/>
                <w:sz w:val="19"/>
              </w:rPr>
              <w:t>SGC</w:t>
            </w:r>
          </w:p>
        </w:tc>
        <w:tc>
          <w:tcPr>
            <w:tcW w:type="dxa" w:w="7379"/>
          </w:tcPr>
          <w:p>
            <w:r/>
            <w:r>
              <w:rPr>
                <w:rFonts w:ascii="Calibri" w:hAnsi="Calibri"/>
                <w:b w:val="0"/>
                <w:sz w:val="19"/>
              </w:rPr>
              <w:t>Sistema de Gestión de Calidad.</w:t>
            </w:r>
          </w:p>
        </w:tc>
      </w:tr>
      <w:tr>
        <w:tc>
          <w:tcPr>
            <w:tcW w:type="dxa" w:w="2593"/>
          </w:tcPr>
          <w:p>
            <w:r/>
            <w:r>
              <w:rPr>
                <w:rFonts w:ascii="Calibri" w:hAnsi="Calibri"/>
                <w:b w:val="0"/>
                <w:sz w:val="19"/>
              </w:rPr>
              <w:t>CFE</w:t>
            </w:r>
          </w:p>
        </w:tc>
        <w:tc>
          <w:tcPr>
            <w:tcW w:type="dxa" w:w="7379"/>
          </w:tcPr>
          <w:p>
            <w:r/>
            <w:r>
              <w:rPr>
                <w:rFonts w:ascii="Calibri" w:hAnsi="Calibri"/>
                <w:b w:val="0"/>
                <w:sz w:val="19"/>
              </w:rPr>
              <w:t>Comisión Federal de Electricidad; distribución e interconexión.</w:t>
            </w:r>
          </w:p>
        </w:tc>
      </w:tr>
      <w:tr>
        <w:tc>
          <w:tcPr>
            <w:tcW w:type="dxa" w:w="2593"/>
          </w:tcPr>
          <w:p>
            <w:r/>
            <w:r>
              <w:rPr>
                <w:rFonts w:ascii="Calibri" w:hAnsi="Calibri"/>
                <w:b w:val="0"/>
                <w:sz w:val="19"/>
              </w:rPr>
              <w:t>CRE</w:t>
            </w:r>
          </w:p>
        </w:tc>
        <w:tc>
          <w:tcPr>
            <w:tcW w:type="dxa" w:w="7379"/>
          </w:tcPr>
          <w:p>
            <w:r/>
            <w:r>
              <w:rPr>
                <w:rFonts w:ascii="Calibri" w:hAnsi="Calibri"/>
                <w:b w:val="0"/>
                <w:sz w:val="19"/>
              </w:rPr>
              <w:t>Comisión Reguladora de Energía.</w:t>
            </w:r>
          </w:p>
        </w:tc>
      </w:tr>
      <w:tr>
        <w:tc>
          <w:tcPr>
            <w:tcW w:type="dxa" w:w="2593"/>
          </w:tcPr>
          <w:p>
            <w:r/>
            <w:r>
              <w:rPr>
                <w:rFonts w:ascii="Calibri" w:hAnsi="Calibri"/>
                <w:b w:val="0"/>
                <w:sz w:val="19"/>
              </w:rPr>
              <w:t>UVIE</w:t>
            </w:r>
          </w:p>
        </w:tc>
        <w:tc>
          <w:tcPr>
            <w:tcW w:type="dxa" w:w="7379"/>
          </w:tcPr>
          <w:p>
            <w:r/>
            <w:r>
              <w:rPr>
                <w:rFonts w:ascii="Calibri" w:hAnsi="Calibri"/>
                <w:b w:val="0"/>
                <w:sz w:val="19"/>
              </w:rPr>
              <w:t>Unidad de Verificación de Instalaciones Eléctricas.</w:t>
            </w:r>
          </w:p>
        </w:tc>
      </w:tr>
      <w:tr>
        <w:tc>
          <w:tcPr>
            <w:tcW w:type="dxa" w:w="2593"/>
          </w:tcPr>
          <w:p>
            <w:r/>
            <w:r>
              <w:rPr>
                <w:rFonts w:ascii="Calibri" w:hAnsi="Calibri"/>
                <w:b w:val="0"/>
                <w:sz w:val="19"/>
              </w:rPr>
              <w:t>FV</w:t>
            </w:r>
          </w:p>
        </w:tc>
        <w:tc>
          <w:tcPr>
            <w:tcW w:type="dxa" w:w="7379"/>
          </w:tcPr>
          <w:p>
            <w:r/>
            <w:r>
              <w:rPr>
                <w:rFonts w:ascii="Calibri" w:hAnsi="Calibri"/>
                <w:b w:val="0"/>
                <w:sz w:val="19"/>
              </w:rPr>
              <w:t>Fotovoltaico.</w:t>
            </w:r>
          </w:p>
        </w:tc>
      </w:tr>
      <w:tr>
        <w:tc>
          <w:tcPr>
            <w:tcW w:type="dxa" w:w="2593"/>
          </w:tcPr>
          <w:p>
            <w:r/>
            <w:r>
              <w:rPr>
                <w:rFonts w:ascii="Calibri" w:hAnsi="Calibri"/>
                <w:b w:val="0"/>
                <w:sz w:val="19"/>
              </w:rPr>
              <w:t>NOM</w:t>
            </w:r>
          </w:p>
        </w:tc>
        <w:tc>
          <w:tcPr>
            <w:tcW w:type="dxa" w:w="7379"/>
          </w:tcPr>
          <w:p>
            <w:r/>
            <w:r>
              <w:rPr>
                <w:rFonts w:ascii="Calibri" w:hAnsi="Calibri"/>
                <w:b w:val="0"/>
                <w:sz w:val="19"/>
              </w:rPr>
              <w:t>Norma Oficial Mexicana.</w:t>
            </w:r>
          </w:p>
        </w:tc>
      </w:tr>
      <w:tr>
        <w:tc>
          <w:tcPr>
            <w:tcW w:type="dxa" w:w="2593"/>
          </w:tcPr>
          <w:p>
            <w:r/>
            <w:r>
              <w:rPr>
                <w:rFonts w:ascii="Calibri" w:hAnsi="Calibri"/>
                <w:b w:val="0"/>
                <w:sz w:val="19"/>
              </w:rPr>
              <w:t>PHVA</w:t>
            </w:r>
          </w:p>
        </w:tc>
        <w:tc>
          <w:tcPr>
            <w:tcW w:type="dxa" w:w="7379"/>
          </w:tcPr>
          <w:p>
            <w:r/>
            <w:r>
              <w:rPr>
                <w:rFonts w:ascii="Calibri" w:hAnsi="Calibri"/>
                <w:b w:val="0"/>
                <w:sz w:val="19"/>
              </w:rPr>
              <w:t>Ciclo Planificar, Hacer, Verificar, Actuar.</w:t>
            </w:r>
          </w:p>
        </w:tc>
      </w:tr>
      <w:tr>
        <w:tc>
          <w:tcPr>
            <w:tcW w:type="dxa" w:w="2593"/>
          </w:tcPr>
          <w:p>
            <w:r/>
            <w:r>
              <w:rPr>
                <w:rFonts w:ascii="Calibri" w:hAnsi="Calibri"/>
                <w:b w:val="0"/>
                <w:sz w:val="19"/>
              </w:rPr>
              <w:t>Generación distribuida</w:t>
            </w:r>
          </w:p>
        </w:tc>
        <w:tc>
          <w:tcPr>
            <w:tcW w:type="dxa" w:w="7379"/>
          </w:tcPr>
          <w:p>
            <w:r/>
            <w:r>
              <w:rPr>
                <w:rFonts w:ascii="Calibri" w:hAnsi="Calibri"/>
                <w:b w:val="0"/>
                <w:sz w:val="19"/>
              </w:rPr>
              <w:t>Generación de pequeña escala interconectada a la red conforme al marco legal vigente.</w:t>
            </w:r>
          </w:p>
        </w:tc>
      </w:tr>
      <w:tr>
        <w:tc>
          <w:tcPr>
            <w:tcW w:type="dxa" w:w="2593"/>
          </w:tcPr>
          <w:p>
            <w:r/>
            <w:r>
              <w:rPr>
                <w:rFonts w:ascii="Calibri" w:hAnsi="Calibri"/>
                <w:b w:val="0"/>
                <w:sz w:val="19"/>
              </w:rPr>
              <w:t>Trello</w:t>
            </w:r>
          </w:p>
        </w:tc>
        <w:tc>
          <w:tcPr>
            <w:tcW w:type="dxa" w:w="7379"/>
          </w:tcPr>
          <w:p>
            <w:r/>
            <w:r>
              <w:rPr>
                <w:rFonts w:ascii="Calibri" w:hAnsi="Calibri"/>
                <w:b w:val="0"/>
                <w:sz w:val="19"/>
              </w:rPr>
              <w:t>Plataforma donde vive la tarjeta de cada proyecto y la evidencia del servicio.</w:t>
            </w:r>
          </w:p>
        </w:tc>
      </w:tr>
      <w:tr>
        <w:tc>
          <w:tcPr>
            <w:tcW w:type="dxa" w:w="2593"/>
          </w:tcPr>
          <w:p>
            <w:r/>
            <w:r>
              <w:rPr>
                <w:rFonts w:ascii="Calibri" w:hAnsi="Calibri"/>
                <w:b w:val="0"/>
                <w:sz w:val="19"/>
              </w:rPr>
              <w:t>Control Sun</w:t>
            </w:r>
          </w:p>
        </w:tc>
        <w:tc>
          <w:tcPr>
            <w:tcW w:type="dxa" w:w="7379"/>
          </w:tcPr>
          <w:p>
            <w:r/>
            <w:r>
              <w:rPr>
                <w:rFonts w:ascii="Calibri" w:hAnsi="Calibri"/>
                <w:b w:val="0"/>
                <w:sz w:val="19"/>
              </w:rPr>
              <w:t>Herramienta de cotización con candados de producto, marca y precio.</w:t>
            </w:r>
          </w:p>
        </w:tc>
      </w:tr>
      <w:tr>
        <w:tc>
          <w:tcPr>
            <w:tcW w:type="dxa" w:w="2593"/>
          </w:tcPr>
          <w:p>
            <w:r/>
            <w:r>
              <w:rPr>
                <w:rFonts w:ascii="Calibri" w:hAnsi="Calibri"/>
                <w:b w:val="0"/>
                <w:sz w:val="19"/>
              </w:rPr>
              <w:t>Acta de encendido</w:t>
            </w:r>
          </w:p>
        </w:tc>
        <w:tc>
          <w:tcPr>
            <w:tcW w:type="dxa" w:w="7379"/>
          </w:tcPr>
          <w:p>
            <w:r/>
            <w:r>
              <w:rPr>
                <w:rFonts w:ascii="Calibri" w:hAnsi="Calibri"/>
                <w:b w:val="0"/>
                <w:sz w:val="19"/>
              </w:rPr>
              <w:t>Registro que libera la instalación al cliente.</w:t>
            </w:r>
          </w:p>
        </w:tc>
      </w:tr>
    </w:tbl>
    <w:p>
      <w:pPr>
        <w:keepNext/>
        <w:spacing w:before="280" w:after="80"/>
        <w:pBdr>
          <w:bottom w:val="single" w:sz="8" w:color="F0E528"/>
        </w:pBdr>
      </w:pPr>
      <w:r>
        <w:rPr>
          <w:rFonts w:ascii="Georgia" w:hAnsi="Georgia"/>
          <w:b/>
          <w:color w:val="0056B4"/>
          <w:sz w:val="26"/>
        </w:rPr>
        <w:t>4. Contexto de la organización</w:t>
      </w:r>
    </w:p>
    <w:p>
      <w:pPr>
        <w:keepNext/>
        <w:spacing w:before="200" w:after="60"/>
      </w:pPr>
      <w:r>
        <w:rPr>
          <w:rFonts w:ascii="Georgia" w:hAnsi="Georgia"/>
          <w:b/>
          <w:color w:val="1C242E"/>
          <w:sz w:val="22"/>
        </w:rPr>
        <w:t>4.1 Cuestiones internas y externas</w:t>
      </w:r>
    </w:p>
    <w:p>
      <w:pPr>
        <w:spacing w:after="120"/>
      </w:pPr>
      <w:r>
        <w:rPr>
          <w:rFonts w:ascii="Calibri" w:hAnsi="Calibri"/>
          <w:color w:val="1C242E"/>
          <w:sz w:val="21"/>
        </w:rPr>
        <w:t>Cuestiones externas que más afectan a SolarPro: la capacidad de CFE, que hoy carece de medidores suficientes para el tamaño del mercado y opera con transformadores al tope, lo que obliga a gestionar oficios y, en algunos casos, transformadores propios del cliente; las normas y reglas de interconexión, que son parte inherente de la operación; y la competencia, tanto la más barata pero menos formal (empresas pequeñas y contratistas independientes) como la de gran tamaño que ofrece arrendamientos con mayor facilidad de crédito. La entrada al negocio de mayoreo se identifica como una oportunidad.</w:t>
      </w:r>
    </w:p>
    <w:p>
      <w:pPr>
        <w:spacing w:after="120"/>
      </w:pPr>
      <w:r>
        <w:rPr>
          <w:rFonts w:ascii="Calibri" w:hAnsi="Calibri"/>
          <w:color w:val="1C242E"/>
          <w:sz w:val="21"/>
        </w:rPr>
        <w:t>Cuestiones internas: la rotación y una plantilla aún por completar; la dependencia de la toma de decisiones de la Dirección; la concentración de la experiencia técnica en pocos perfiles (Gerencia Administrativa, Coordinación de Operaciones y Coordinación de Ingeniería), cuya salida afectaría de inmediato al negocio; y, como fortaleza, la integración formal del ciclo completo en una sola empresa.</w:t>
      </w:r>
    </w:p>
    <w:p>
      <w:pPr>
        <w:spacing w:after="120"/>
      </w:pPr>
      <w:r>
        <w:rPr>
          <w:rFonts w:ascii="Calibri" w:hAnsi="Calibri"/>
          <w:color w:val="1C242E"/>
          <w:sz w:val="21"/>
        </w:rPr>
        <w:t>Dirección estratégica a uno a tres años: que los proyectos industriales, es decir los de alto valor con más de 100 paneles, pasen a representar la mayor parte del negocio, invirtiendo la proporción actual; abrir operación en Delicias y en más localidades; y sostener la postventa como estrategia de retención y recomendación de clientes. El análisis de contexto se formaliza con este manual y se revisa en la revisión por la dirección.</w:t>
      </w:r>
    </w:p>
    <w:p>
      <w:pPr>
        <w:keepNext/>
        <w:spacing w:before="200" w:after="60"/>
      </w:pPr>
      <w:r>
        <w:rPr>
          <w:rFonts w:ascii="Georgia" w:hAnsi="Georgia"/>
          <w:b/>
          <w:color w:val="1C242E"/>
          <w:sz w:val="22"/>
        </w:rPr>
        <w:t>4.2 Partes interesadas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989"/>
            <w:shd w:val="clear" w:fill="0056B4"/>
          </w:tcPr>
          <w:p>
            <w:pPr>
              <w:jc w:val="center"/>
            </w:pPr>
            <w:r/>
            <w:r>
              <w:rPr>
                <w:rFonts w:ascii="Calibri" w:hAnsi="Calibri"/>
                <w:b/>
                <w:color w:val="FFFFFF"/>
                <w:sz w:val="17"/>
              </w:rPr>
              <w:t>Parte interesada</w:t>
            </w:r>
          </w:p>
        </w:tc>
        <w:tc>
          <w:tcPr>
            <w:tcW w:type="dxa" w:w="5983"/>
            <w:shd w:val="clear" w:fill="0056B4"/>
          </w:tcPr>
          <w:p>
            <w:pPr>
              <w:jc w:val="center"/>
            </w:pPr>
            <w:r/>
            <w:r>
              <w:rPr>
                <w:rFonts w:ascii="Calibri" w:hAnsi="Calibri"/>
                <w:b/>
                <w:color w:val="FFFFFF"/>
                <w:sz w:val="17"/>
              </w:rPr>
              <w:t>Requisito clave</w:t>
            </w:r>
          </w:p>
        </w:tc>
      </w:tr>
      <w:tr>
        <w:tc>
          <w:tcPr>
            <w:tcW w:type="dxa" w:w="3989"/>
          </w:tcPr>
          <w:p>
            <w:r/>
            <w:r>
              <w:rPr>
                <w:rFonts w:ascii="Calibri" w:hAnsi="Calibri"/>
                <w:b w:val="0"/>
                <w:sz w:val="19"/>
              </w:rPr>
              <w:t>Clientes</w:t>
            </w:r>
          </w:p>
        </w:tc>
        <w:tc>
          <w:tcPr>
            <w:tcW w:type="dxa" w:w="5983"/>
          </w:tcPr>
          <w:p>
            <w:r/>
            <w:r>
              <w:rPr>
                <w:rFonts w:ascii="Calibri" w:hAnsi="Calibri"/>
                <w:b w:val="0"/>
                <w:sz w:val="19"/>
              </w:rPr>
              <w:t>Instalación y encendido rápidos, y el ahorro y la producción prometidos.</w:t>
            </w:r>
          </w:p>
        </w:tc>
      </w:tr>
      <w:tr>
        <w:tc>
          <w:tcPr>
            <w:tcW w:type="dxa" w:w="3989"/>
          </w:tcPr>
          <w:p>
            <w:r/>
            <w:r>
              <w:rPr>
                <w:rFonts w:ascii="Calibri" w:hAnsi="Calibri"/>
                <w:b w:val="0"/>
                <w:sz w:val="19"/>
              </w:rPr>
              <w:t>CFE Distribución y Suministrador (SSB)</w:t>
            </w:r>
          </w:p>
        </w:tc>
        <w:tc>
          <w:tcPr>
            <w:tcW w:type="dxa" w:w="5983"/>
          </w:tcPr>
          <w:p>
            <w:r/>
            <w:r>
              <w:rPr>
                <w:rFonts w:ascii="Calibri" w:hAnsi="Calibri"/>
                <w:b w:val="0"/>
                <w:sz w:val="19"/>
              </w:rPr>
              <w:t>Expediente e interconexión conformes; medidor adecuado, que a veces depende del cliente.</w:t>
            </w:r>
          </w:p>
        </w:tc>
      </w:tr>
      <w:tr>
        <w:tc>
          <w:tcPr>
            <w:tcW w:type="dxa" w:w="3989"/>
          </w:tcPr>
          <w:p>
            <w:r/>
            <w:r>
              <w:rPr>
                <w:rFonts w:ascii="Calibri" w:hAnsi="Calibri"/>
                <w:b w:val="0"/>
                <w:sz w:val="19"/>
              </w:rPr>
              <w:t>CRE</w:t>
            </w:r>
          </w:p>
        </w:tc>
        <w:tc>
          <w:tcPr>
            <w:tcW w:type="dxa" w:w="5983"/>
          </w:tcPr>
          <w:p>
            <w:r/>
            <w:r>
              <w:rPr>
                <w:rFonts w:ascii="Calibri" w:hAnsi="Calibri"/>
                <w:b w:val="0"/>
                <w:sz w:val="19"/>
              </w:rPr>
              <w:t>Cumplimiento del marco de generación distribuida.</w:t>
            </w:r>
          </w:p>
        </w:tc>
      </w:tr>
      <w:tr>
        <w:tc>
          <w:tcPr>
            <w:tcW w:type="dxa" w:w="3989"/>
          </w:tcPr>
          <w:p>
            <w:r/>
            <w:r>
              <w:rPr>
                <w:rFonts w:ascii="Calibri" w:hAnsi="Calibri"/>
                <w:b w:val="0"/>
                <w:sz w:val="19"/>
              </w:rPr>
              <w:t>UVIE (Unidad de Verificación)</w:t>
            </w:r>
          </w:p>
        </w:tc>
        <w:tc>
          <w:tcPr>
            <w:tcW w:type="dxa" w:w="5983"/>
          </w:tcPr>
          <w:p>
            <w:r/>
            <w:r>
              <w:rPr>
                <w:rFonts w:ascii="Calibri" w:hAnsi="Calibri"/>
                <w:b w:val="0"/>
                <w:sz w:val="19"/>
              </w:rPr>
              <w:t>Dictamen conforme cuando aplica.</w:t>
            </w:r>
          </w:p>
        </w:tc>
      </w:tr>
      <w:tr>
        <w:tc>
          <w:tcPr>
            <w:tcW w:type="dxa" w:w="3989"/>
          </w:tcPr>
          <w:p>
            <w:r/>
            <w:r>
              <w:rPr>
                <w:rFonts w:ascii="Calibri" w:hAnsi="Calibri"/>
                <w:b w:val="0"/>
                <w:sz w:val="19"/>
              </w:rPr>
              <w:t>Proveedores de módulos e inversores</w:t>
            </w:r>
          </w:p>
        </w:tc>
        <w:tc>
          <w:tcPr>
            <w:tcW w:type="dxa" w:w="5983"/>
          </w:tcPr>
          <w:p>
            <w:r/>
            <w:r>
              <w:rPr>
                <w:rFonts w:ascii="Calibri" w:hAnsi="Calibri"/>
                <w:b w:val="0"/>
                <w:sz w:val="19"/>
              </w:rPr>
              <w:t>Relación comercial y garantías; hoy son un factor de margen.</w:t>
            </w:r>
          </w:p>
        </w:tc>
      </w:tr>
      <w:tr>
        <w:tc>
          <w:tcPr>
            <w:tcW w:type="dxa" w:w="3989"/>
          </w:tcPr>
          <w:p>
            <w:r/>
            <w:r>
              <w:rPr>
                <w:rFonts w:ascii="Calibri" w:hAnsi="Calibri"/>
                <w:b w:val="0"/>
                <w:sz w:val="19"/>
              </w:rPr>
              <w:t>Financieras y crédito verde</w:t>
            </w:r>
          </w:p>
        </w:tc>
        <w:tc>
          <w:tcPr>
            <w:tcW w:type="dxa" w:w="5983"/>
          </w:tcPr>
          <w:p>
            <w:r/>
            <w:r>
              <w:rPr>
                <w:rFonts w:ascii="Calibri" w:hAnsi="Calibri"/>
                <w:b w:val="0"/>
                <w:sz w:val="19"/>
              </w:rPr>
              <w:t>Requisitos de crédito y arrendamiento.</w:t>
            </w:r>
          </w:p>
        </w:tc>
      </w:tr>
      <w:tr>
        <w:tc>
          <w:tcPr>
            <w:tcW w:type="dxa" w:w="3989"/>
          </w:tcPr>
          <w:p>
            <w:r/>
            <w:r>
              <w:rPr>
                <w:rFonts w:ascii="Calibri" w:hAnsi="Calibri"/>
                <w:b w:val="0"/>
                <w:sz w:val="19"/>
              </w:rPr>
              <w:t>Instaladores y cuadrillas</w:t>
            </w:r>
          </w:p>
        </w:tc>
        <w:tc>
          <w:tcPr>
            <w:tcW w:type="dxa" w:w="5983"/>
          </w:tcPr>
          <w:p>
            <w:r/>
            <w:r>
              <w:rPr>
                <w:rFonts w:ascii="Calibri" w:hAnsi="Calibri"/>
                <w:b w:val="0"/>
                <w:sz w:val="19"/>
              </w:rPr>
              <w:t>Cumplimiento de calidad y seguridad en obra.</w:t>
            </w:r>
          </w:p>
        </w:tc>
      </w:tr>
      <w:tr>
        <w:tc>
          <w:tcPr>
            <w:tcW w:type="dxa" w:w="3989"/>
          </w:tcPr>
          <w:p>
            <w:r/>
            <w:r>
              <w:rPr>
                <w:rFonts w:ascii="Calibri" w:hAnsi="Calibri"/>
                <w:b w:val="0"/>
                <w:sz w:val="19"/>
              </w:rPr>
              <w:t>Aseguradoras y fabricantes</w:t>
            </w:r>
          </w:p>
        </w:tc>
        <w:tc>
          <w:tcPr>
            <w:tcW w:type="dxa" w:w="5983"/>
          </w:tcPr>
          <w:p>
            <w:r/>
            <w:r>
              <w:rPr>
                <w:rFonts w:ascii="Calibri" w:hAnsi="Calibri"/>
                <w:b w:val="0"/>
                <w:sz w:val="19"/>
              </w:rPr>
              <w:t>Respaldo de garantías y cobertura.</w:t>
            </w:r>
          </w:p>
        </w:tc>
      </w:tr>
    </w:tbl>
    <w:p>
      <w:pPr>
        <w:keepNext/>
        <w:spacing w:before="200" w:after="60"/>
      </w:pPr>
      <w:r>
        <w:rPr>
          <w:rFonts w:ascii="Georgia" w:hAnsi="Georgia"/>
          <w:b/>
          <w:color w:val="1C242E"/>
          <w:sz w:val="22"/>
        </w:rPr>
        <w:t>4.3 Alcance del SGC y exclusiones</w:t>
      </w:r>
    </w:p>
    <w:p>
      <w:pPr>
        <w:spacing w:after="120"/>
      </w:pPr>
      <w:r>
        <w:rPr>
          <w:rFonts w:ascii="Calibri" w:hAnsi="Calibri"/>
          <w:color w:val="1C242E"/>
          <w:sz w:val="21"/>
        </w:rPr>
        <w:t>El SGC cubre todo el ciclo del servicio, del comercial a la postventa. El Diseño y Desarrollo (cláusula 8.3) queda dentro del alcance, porque SolarPro diseña el sistema eléctrico y elabora memoria de cálculo y diagrama unifilar (procedimiento PRO-ING-03). No se declaran exclusiones. La instalación se subcontrata de forma parcial mediante cuadrillas externas, hoy entre el 0 y el 20 por ciento del trabajo, que se controlan como proceso contratado externamente conforme a la cláusula 8.4.</w:t>
      </w:r>
    </w:p>
    <w:p>
      <w:pPr>
        <w:keepNext/>
        <w:spacing w:before="200" w:after="60"/>
      </w:pPr>
      <w:r>
        <w:rPr>
          <w:rFonts w:ascii="Georgia" w:hAnsi="Georgia"/>
          <w:b/>
          <w:color w:val="1C242E"/>
          <w:sz w:val="22"/>
        </w:rPr>
        <w:t>4.4 Mapa de procesos</w:t>
      </w:r>
    </w:p>
    <w:p>
      <w:pPr>
        <w:spacing w:after="120"/>
      </w:pPr>
      <w:r>
        <w:rPr>
          <w:rFonts w:ascii="Calibri" w:hAnsi="Calibri"/>
          <w:color w:val="1C242E"/>
          <w:sz w:val="21"/>
        </w:rPr>
        <w:t>La cadena de valor documentada refleja cómo trabaja SolarPro hoy: prospección, visita y levantamiento con dron, diseño eléctrico y render, compras, instalación, encendido, trámite de interconexión ante CFE (transversal) y postventa. Los proyectos industriales, de alto valor o de licitación pueden tener excepciones o pasos adicionales.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989"/>
            <w:shd w:val="clear" w:fill="0056B4"/>
          </w:tcPr>
          <w:p>
            <w:pPr>
              <w:jc w:val="center"/>
            </w:pPr>
            <w:r/>
            <w:r>
              <w:rPr>
                <w:rFonts w:ascii="Calibri" w:hAnsi="Calibri"/>
                <w:b/>
                <w:color w:val="FFFFFF"/>
                <w:sz w:val="17"/>
              </w:rPr>
              <w:t>Proceso</w:t>
            </w:r>
          </w:p>
        </w:tc>
        <w:tc>
          <w:tcPr>
            <w:tcW w:type="dxa" w:w="3191"/>
            <w:shd w:val="clear" w:fill="0056B4"/>
          </w:tcPr>
          <w:p>
            <w:pPr>
              <w:jc w:val="center"/>
            </w:pPr>
            <w:r/>
            <w:r>
              <w:rPr>
                <w:rFonts w:ascii="Calibri" w:hAnsi="Calibri"/>
                <w:b/>
                <w:color w:val="FFFFFF"/>
                <w:sz w:val="17"/>
              </w:rPr>
              <w:t>Dueño</w:t>
            </w:r>
          </w:p>
        </w:tc>
        <w:tc>
          <w:tcPr>
            <w:tcW w:type="dxa" w:w="2792"/>
            <w:shd w:val="clear" w:fill="0056B4"/>
          </w:tcPr>
          <w:p>
            <w:pPr>
              <w:jc w:val="center"/>
            </w:pPr>
            <w:r/>
            <w:r>
              <w:rPr>
                <w:rFonts w:ascii="Calibri" w:hAnsi="Calibri"/>
                <w:b/>
                <w:color w:val="FFFFFF"/>
                <w:sz w:val="17"/>
              </w:rPr>
              <w:t>Documento de referencia</w:t>
            </w:r>
          </w:p>
        </w:tc>
      </w:tr>
      <w:tr>
        <w:tc>
          <w:tcPr>
            <w:tcW w:type="dxa" w:w="3989"/>
          </w:tcPr>
          <w:p>
            <w:r/>
            <w:r>
              <w:rPr>
                <w:rFonts w:ascii="Calibri" w:hAnsi="Calibri"/>
                <w:b w:val="0"/>
                <w:sz w:val="19"/>
              </w:rPr>
              <w:t>Comercial (leads a contrato)</w:t>
            </w:r>
          </w:p>
        </w:tc>
        <w:tc>
          <w:tcPr>
            <w:tcW w:type="dxa" w:w="3191"/>
          </w:tcPr>
          <w:p>
            <w:r/>
            <w:r>
              <w:rPr>
                <w:rFonts w:ascii="Calibri" w:hAnsi="Calibri"/>
                <w:b w:val="0"/>
                <w:sz w:val="19"/>
              </w:rPr>
              <w:t>Gerencia Comercial</w:t>
            </w:r>
          </w:p>
        </w:tc>
        <w:tc>
          <w:tcPr>
            <w:tcW w:type="dxa" w:w="2792"/>
          </w:tcPr>
          <w:p>
            <w:r/>
            <w:r>
              <w:rPr>
                <w:rFonts w:ascii="Calibri" w:hAnsi="Calibri"/>
                <w:b w:val="0"/>
                <w:sz w:val="19"/>
              </w:rPr>
              <w:t>PRO-VEN-01 a 06</w:t>
            </w:r>
          </w:p>
        </w:tc>
      </w:tr>
      <w:tr>
        <w:tc>
          <w:tcPr>
            <w:tcW w:type="dxa" w:w="3989"/>
          </w:tcPr>
          <w:p>
            <w:r/>
            <w:r>
              <w:rPr>
                <w:rFonts w:ascii="Calibri" w:hAnsi="Calibri"/>
                <w:b w:val="0"/>
                <w:sz w:val="19"/>
              </w:rPr>
              <w:t>Ingeniería, diseño y encendido</w:t>
            </w:r>
          </w:p>
        </w:tc>
        <w:tc>
          <w:tcPr>
            <w:tcW w:type="dxa" w:w="3191"/>
          </w:tcPr>
          <w:p>
            <w:r/>
            <w:r>
              <w:rPr>
                <w:rFonts w:ascii="Calibri" w:hAnsi="Calibri"/>
                <w:b w:val="0"/>
                <w:sz w:val="19"/>
              </w:rPr>
              <w:t>Coordinación de Ingeniería</w:t>
            </w:r>
          </w:p>
        </w:tc>
        <w:tc>
          <w:tcPr>
            <w:tcW w:type="dxa" w:w="2792"/>
          </w:tcPr>
          <w:p>
            <w:r/>
            <w:r>
              <w:rPr>
                <w:rFonts w:ascii="Calibri" w:hAnsi="Calibri"/>
                <w:b w:val="0"/>
                <w:sz w:val="19"/>
              </w:rPr>
              <w:t>PRO-ING-01 a 05</w:t>
            </w:r>
          </w:p>
        </w:tc>
      </w:tr>
      <w:tr>
        <w:tc>
          <w:tcPr>
            <w:tcW w:type="dxa" w:w="3989"/>
          </w:tcPr>
          <w:p>
            <w:r/>
            <w:r>
              <w:rPr>
                <w:rFonts w:ascii="Calibri" w:hAnsi="Calibri"/>
                <w:b w:val="0"/>
                <w:sz w:val="19"/>
              </w:rPr>
              <w:t>Instalación</w:t>
            </w:r>
          </w:p>
        </w:tc>
        <w:tc>
          <w:tcPr>
            <w:tcW w:type="dxa" w:w="3191"/>
          </w:tcPr>
          <w:p>
            <w:r/>
            <w:r>
              <w:rPr>
                <w:rFonts w:ascii="Calibri" w:hAnsi="Calibri"/>
                <w:b w:val="0"/>
                <w:sz w:val="19"/>
              </w:rPr>
              <w:t>Coordinación de Instalaciones</w:t>
            </w:r>
          </w:p>
        </w:tc>
        <w:tc>
          <w:tcPr>
            <w:tcW w:type="dxa" w:w="2792"/>
          </w:tcPr>
          <w:p>
            <w:r/>
            <w:r>
              <w:rPr>
                <w:rFonts w:ascii="Calibri" w:hAnsi="Calibri"/>
                <w:b w:val="0"/>
                <w:sz w:val="19"/>
              </w:rPr>
              <w:t>SOL-PROC-001</w:t>
            </w:r>
          </w:p>
        </w:tc>
      </w:tr>
      <w:tr>
        <w:tc>
          <w:tcPr>
            <w:tcW w:type="dxa" w:w="3989"/>
          </w:tcPr>
          <w:p>
            <w:r/>
            <w:r>
              <w:rPr>
                <w:rFonts w:ascii="Calibri" w:hAnsi="Calibri"/>
                <w:b w:val="0"/>
                <w:sz w:val="19"/>
              </w:rPr>
              <w:t>Postventa y mantenimiento</w:t>
            </w:r>
          </w:p>
        </w:tc>
        <w:tc>
          <w:tcPr>
            <w:tcW w:type="dxa" w:w="3191"/>
          </w:tcPr>
          <w:p>
            <w:r/>
            <w:r>
              <w:rPr>
                <w:rFonts w:ascii="Calibri" w:hAnsi="Calibri"/>
                <w:b w:val="0"/>
                <w:sz w:val="19"/>
              </w:rPr>
              <w:t>Coordinación de Postventa</w:t>
            </w:r>
          </w:p>
        </w:tc>
        <w:tc>
          <w:tcPr>
            <w:tcW w:type="dxa" w:w="2792"/>
          </w:tcPr>
          <w:p>
            <w:r/>
            <w:r>
              <w:rPr>
                <w:rFonts w:ascii="Calibri" w:hAnsi="Calibri"/>
                <w:b w:val="0"/>
                <w:sz w:val="19"/>
              </w:rPr>
              <w:t>PRO-PVM-01 a 05</w:t>
            </w:r>
          </w:p>
        </w:tc>
      </w:tr>
      <w:tr>
        <w:tc>
          <w:tcPr>
            <w:tcW w:type="dxa" w:w="3989"/>
          </w:tcPr>
          <w:p>
            <w:r/>
            <w:r>
              <w:rPr>
                <w:rFonts w:ascii="Calibri" w:hAnsi="Calibri"/>
                <w:b w:val="0"/>
                <w:sz w:val="19"/>
              </w:rPr>
              <w:t>Administración, tramitología y almacén</w:t>
            </w:r>
          </w:p>
        </w:tc>
        <w:tc>
          <w:tcPr>
            <w:tcW w:type="dxa" w:w="3191"/>
          </w:tcPr>
          <w:p>
            <w:r/>
            <w:r>
              <w:rPr>
                <w:rFonts w:ascii="Calibri" w:hAnsi="Calibri"/>
                <w:b w:val="0"/>
                <w:sz w:val="19"/>
              </w:rPr>
              <w:t>Gerencia Administrativa</w:t>
            </w:r>
          </w:p>
        </w:tc>
        <w:tc>
          <w:tcPr>
            <w:tcW w:type="dxa" w:w="2792"/>
          </w:tcPr>
          <w:p>
            <w:r/>
            <w:r>
              <w:rPr>
                <w:rFonts w:ascii="Calibri" w:hAnsi="Calibri"/>
                <w:b w:val="0"/>
                <w:sz w:val="19"/>
              </w:rPr>
              <w:t>Políticas y formatos del hub</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Los procesos de apoyo (control documental, capacitación, proveedores, no conformidades, auditoría interna y revisión por la dirección) aún no operan de forma plenamente formal y se establecen con este SGC.</w:t>
            </w:r>
          </w:p>
        </w:tc>
      </w:tr>
    </w:tbl>
    <w:p>
      <w:pPr>
        <w:spacing w:after="40"/>
      </w:pPr>
    </w:p>
    <w:p>
      <w:pPr>
        <w:keepNext/>
        <w:spacing w:before="280" w:after="80"/>
        <w:pBdr>
          <w:bottom w:val="single" w:sz="8" w:color="F0E528"/>
        </w:pBdr>
      </w:pPr>
      <w:r>
        <w:rPr>
          <w:rFonts w:ascii="Georgia" w:hAnsi="Georgia"/>
          <w:b/>
          <w:color w:val="0056B4"/>
          <w:sz w:val="26"/>
        </w:rPr>
        <w:t>5. Liderazgo</w:t>
      </w:r>
    </w:p>
    <w:p>
      <w:pPr>
        <w:keepNext/>
        <w:spacing w:before="200" w:after="60"/>
      </w:pPr>
      <w:r>
        <w:rPr>
          <w:rFonts w:ascii="Georgia" w:hAnsi="Georgia"/>
          <w:b/>
          <w:color w:val="1C242E"/>
          <w:sz w:val="22"/>
        </w:rPr>
        <w:t>5.1 Compromiso de la dirección y enfoque al cliente</w:t>
      </w:r>
    </w:p>
    <w:p>
      <w:pPr>
        <w:spacing w:after="120"/>
      </w:pPr>
      <w:r>
        <w:rPr>
          <w:rFonts w:ascii="Calibri" w:hAnsi="Calibri"/>
          <w:color w:val="1C242E"/>
          <w:sz w:val="21"/>
        </w:rPr>
        <w:t>La alta dirección para efectos del SGC es un Comité de Calidad. La dirección asume la responsabilidad de la eficacia del SGC y promueve el enfoque al cliente. El compromiso de la dirección con la calidad se fortalece a través de la revisión por la dirección con cadencia trimestral. La promesa de calidad de SolarPro a sus clientes es la producción de energía y el ahorro.</w:t>
      </w:r>
    </w:p>
    <w:p>
      <w:pPr>
        <w:keepNext/>
        <w:spacing w:before="200" w:after="60"/>
      </w:pPr>
      <w:r>
        <w:rPr>
          <w:rFonts w:ascii="Georgia" w:hAnsi="Georgia"/>
          <w:b/>
          <w:color w:val="1C242E"/>
          <w:sz w:val="22"/>
        </w:rPr>
        <w:t>5.2 Política de calidad</w:t>
      </w:r>
    </w:p>
    <w:p>
      <w:pPr>
        <w:spacing w:after="120"/>
      </w:pPr>
      <w:r>
        <w:rPr>
          <w:rFonts w:ascii="Calibri" w:hAnsi="Calibri"/>
          <w:color w:val="1C242E"/>
          <w:sz w:val="21"/>
        </w:rPr>
        <w:t>SolarPro se compromete a entregar a cada cliente la producción de energía y el ahorro prometidos. Para lograrlo, la dirección se compromete a: cumplir los requisitos del cliente y los requisitos legales aplicables, en particular la NOM-001-SEDE y los de CFE; asegurar la calidad técnica de cada instalación; cuidar la seguridad de su personal; cumplir los tiempos de entrega comprometidos; responder por el desempeño de los sistemas instalados; y mejorar de forma continua su Sistema de Gestión de Calidad. Esta política es el marco para establecer y revisar los objetivos de calidad y se comunica a todo el personal.</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 redacción final de la política se ajustará cuando se cierren la misión, la visión y los valores del cuestionario correspondiente.</w:t>
            </w:r>
          </w:p>
        </w:tc>
      </w:tr>
    </w:tbl>
    <w:p>
      <w:pPr>
        <w:spacing w:after="40"/>
      </w:pPr>
    </w:p>
    <w:p>
      <w:pPr>
        <w:keepNext/>
        <w:spacing w:before="200" w:after="60"/>
      </w:pPr>
      <w:r>
        <w:rPr>
          <w:rFonts w:ascii="Georgia" w:hAnsi="Georgia"/>
          <w:b/>
          <w:color w:val="1C242E"/>
          <w:sz w:val="22"/>
        </w:rPr>
        <w:t>5.3 Roles, responsabilidades y autoridades</w:t>
      </w:r>
    </w:p>
    <w:p>
      <w:pPr>
        <w:spacing w:after="120"/>
      </w:pPr>
      <w:r>
        <w:rPr>
          <w:rFonts w:ascii="Calibri" w:hAnsi="Calibri"/>
          <w:color w:val="1C242E"/>
          <w:sz w:val="21"/>
        </w:rPr>
        <w:t>SolarPro no cuenta con un puesto formal de Calidad; las funciones del SGC se reparten entre los puestos actuales. La responsabilidad de que el SGC funcione y se reporte a la dirección es compartida y la coordina la Gerencia Administrativa como custodio del manual. La liberación de una instalación antes de entregarla al cliente la autoriza Ingeniería mediante el acta de encendido.</w:t>
      </w:r>
    </w:p>
    <w:p>
      <w:pPr>
        <w:spacing w:after="120"/>
      </w:pPr>
      <w:r>
        <w:rPr>
          <w:rFonts w:ascii="Calibri" w:hAnsi="Calibri"/>
          <w:color w:val="1C242E"/>
          <w:sz w:val="21"/>
        </w:rPr>
        <w:t>El Comité de Calidad se integra por la Dirección General, la Gerencia Comercial, la Gerencia Administrativa, la Coordinación de Ingeniería y la Coordinación de Instalaciones.</w:t>
      </w:r>
    </w:p>
    <w:p>
      <w:pPr>
        <w:keepNext/>
        <w:spacing w:before="280" w:after="80"/>
        <w:pBdr>
          <w:bottom w:val="single" w:sz="8" w:color="F0E528"/>
        </w:pBdr>
      </w:pPr>
      <w:r>
        <w:rPr>
          <w:rFonts w:ascii="Georgia" w:hAnsi="Georgia"/>
          <w:b/>
          <w:color w:val="0056B4"/>
          <w:sz w:val="26"/>
        </w:rPr>
        <w:t>6. Planificación</w:t>
      </w:r>
    </w:p>
    <w:p>
      <w:pPr>
        <w:keepNext/>
        <w:spacing w:before="200" w:after="60"/>
      </w:pPr>
      <w:r>
        <w:rPr>
          <w:rFonts w:ascii="Georgia" w:hAnsi="Georgia"/>
          <w:b/>
          <w:color w:val="1C242E"/>
          <w:sz w:val="22"/>
        </w:rPr>
        <w:t>6.1 Riesgos y oportunidades</w:t>
      </w:r>
    </w:p>
    <w:p>
      <w:pPr>
        <w:spacing w:after="120"/>
      </w:pPr>
      <w:r>
        <w:rPr>
          <w:rFonts w:ascii="Calibri" w:hAnsi="Calibri"/>
          <w:color w:val="1C242E"/>
          <w:sz w:val="21"/>
        </w:rPr>
        <w:t>El SGC gestiona los riesgos con una matriz simple de probabilidad por impacto. Los riesgos reales del negocio son: rechazo de expediente ante CFE o UVIE, errores de diseño (sombreado o dimensionamiento), retrasos que incumplen la fecha comprometida, accidentes en alturas o eléctricos, rotación o pérdida de personal clave, dependencia de un proveedor de módulos o inversores, fallas en el encendido y daño a equipo o propiedad del cliente. Los dos que más preocupan a la dirección son los retrasos que incumplen la fecha comprometida y la dependencia de proveedores, que afecta el margen al no operar aún como mayorista.</w:t>
      </w:r>
    </w:p>
    <w:p>
      <w:pPr>
        <w:spacing w:after="120"/>
      </w:pPr>
      <w:r>
        <w:rPr>
          <w:rFonts w:ascii="Calibri" w:hAnsi="Calibri"/>
          <w:color w:val="1C242E"/>
          <w:sz w:val="21"/>
        </w:rPr>
        <w:t>Oportunidades que el SGC ayuda a capturar: ganar licitaciones que exigen ISO, aumentar los referidos a partir de la postventa, obtener mejor precio con proveedores, entrar al negocio de mayoreo y consolidar el giro hacia proyectos industriales de alto valor.</w:t>
      </w:r>
    </w:p>
    <w:p>
      <w:pPr>
        <w:keepNext/>
        <w:spacing w:before="200" w:after="60"/>
      </w:pPr>
      <w:r>
        <w:rPr>
          <w:rFonts w:ascii="Georgia" w:hAnsi="Georgia"/>
          <w:b/>
          <w:color w:val="1C242E"/>
          <w:sz w:val="22"/>
        </w:rPr>
        <w:t>6.2 Objetivos de calidad</w:t>
      </w:r>
    </w:p>
    <w:p>
      <w:pPr>
        <w:spacing w:after="120"/>
      </w:pPr>
      <w:r>
        <w:rPr>
          <w:rFonts w:ascii="Calibri" w:hAnsi="Calibri"/>
          <w:color w:val="1C242E"/>
          <w:sz w:val="21"/>
        </w:rPr>
        <w:t>SolarPro adopta un conjunto acotado de objetivos que sí mide. El objetivo principal es la satisfacción del cliente, con una meta igual o mayor al 90 por ciento. El Comité de Calidad es responsable de su seguimiento.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989"/>
            <w:shd w:val="clear" w:fill="0056B4"/>
          </w:tcPr>
          <w:p>
            <w:pPr>
              <w:jc w:val="center"/>
            </w:pPr>
            <w:r/>
            <w:r>
              <w:rPr>
                <w:rFonts w:ascii="Calibri" w:hAnsi="Calibri"/>
                <w:b/>
                <w:color w:val="FFFFFF"/>
                <w:sz w:val="17"/>
              </w:rPr>
              <w:t>Objetivo de calidad</w:t>
            </w:r>
          </w:p>
        </w:tc>
        <w:tc>
          <w:tcPr>
            <w:tcW w:type="dxa" w:w="2194"/>
            <w:shd w:val="clear" w:fill="0056B4"/>
          </w:tcPr>
          <w:p>
            <w:pPr>
              <w:jc w:val="center"/>
            </w:pPr>
            <w:r/>
            <w:r>
              <w:rPr>
                <w:rFonts w:ascii="Calibri" w:hAnsi="Calibri"/>
                <w:b/>
                <w:color w:val="FFFFFF"/>
                <w:sz w:val="17"/>
              </w:rPr>
              <w:t>Meta</w:t>
            </w:r>
          </w:p>
        </w:tc>
        <w:tc>
          <w:tcPr>
            <w:tcW w:type="dxa" w:w="1994"/>
            <w:shd w:val="clear" w:fill="0056B4"/>
          </w:tcPr>
          <w:p>
            <w:pPr>
              <w:jc w:val="center"/>
            </w:pPr>
            <w:r/>
            <w:r>
              <w:rPr>
                <w:rFonts w:ascii="Calibri" w:hAnsi="Calibri"/>
                <w:b/>
                <w:color w:val="FFFFFF"/>
                <w:sz w:val="17"/>
              </w:rPr>
              <w:t>Responsable</w:t>
            </w:r>
          </w:p>
        </w:tc>
        <w:tc>
          <w:tcPr>
            <w:tcW w:type="dxa" w:w="1795"/>
            <w:shd w:val="clear" w:fill="0056B4"/>
          </w:tcPr>
          <w:p>
            <w:pPr>
              <w:jc w:val="center"/>
            </w:pPr>
            <w:r/>
            <w:r>
              <w:rPr>
                <w:rFonts w:ascii="Calibri" w:hAnsi="Calibri"/>
                <w:b/>
                <w:color w:val="FFFFFF"/>
                <w:sz w:val="17"/>
              </w:rPr>
              <w:t>Frecuencia</w:t>
            </w:r>
          </w:p>
        </w:tc>
      </w:tr>
      <w:tr>
        <w:tc>
          <w:tcPr>
            <w:tcW w:type="dxa" w:w="3989"/>
          </w:tcPr>
          <w:p>
            <w:r/>
            <w:r>
              <w:rPr>
                <w:rFonts w:ascii="Calibri" w:hAnsi="Calibri"/>
                <w:b w:val="0"/>
                <w:sz w:val="19"/>
              </w:rPr>
              <w:t>Satisfacción del cliente</w:t>
            </w:r>
          </w:p>
        </w:tc>
        <w:tc>
          <w:tcPr>
            <w:tcW w:type="dxa" w:w="2194"/>
          </w:tcPr>
          <w:p>
            <w:r/>
            <w:r>
              <w:rPr>
                <w:rFonts w:ascii="Calibri" w:hAnsi="Calibri"/>
                <w:b w:val="0"/>
                <w:sz w:val="19"/>
              </w:rPr>
              <w:t>Igual o mayor a 90%</w:t>
            </w:r>
          </w:p>
        </w:tc>
        <w:tc>
          <w:tcPr>
            <w:tcW w:type="dxa" w:w="1994"/>
          </w:tcPr>
          <w:p>
            <w:r/>
            <w:r>
              <w:rPr>
                <w:rFonts w:ascii="Calibri" w:hAnsi="Calibri"/>
                <w:b w:val="0"/>
                <w:sz w:val="19"/>
              </w:rPr>
              <w:t>Comité de Calidad</w:t>
            </w:r>
          </w:p>
        </w:tc>
        <w:tc>
          <w:tcPr>
            <w:tcW w:type="dxa" w:w="1795"/>
          </w:tcPr>
          <w:p>
            <w:r/>
            <w:r>
              <w:rPr>
                <w:rFonts w:ascii="Calibri" w:hAnsi="Calibri"/>
                <w:b w:val="0"/>
                <w:sz w:val="19"/>
              </w:rPr>
              <w:t>Trimestral</w:t>
            </w:r>
          </w:p>
        </w:tc>
      </w:tr>
      <w:tr>
        <w:tc>
          <w:tcPr>
            <w:tcW w:type="dxa" w:w="3989"/>
          </w:tcPr>
          <w:p>
            <w:r/>
            <w:r>
              <w:rPr>
                <w:rFonts w:ascii="Calibri" w:hAnsi="Calibri"/>
                <w:b w:val="0"/>
                <w:sz w:val="19"/>
              </w:rPr>
              <w:t>Tiempo de respuesta en postventa</w:t>
            </w:r>
          </w:p>
        </w:tc>
        <w:tc>
          <w:tcPr>
            <w:tcW w:type="dxa" w:w="2194"/>
          </w:tcPr>
          <w:p>
            <w:r/>
            <w:r>
              <w:rPr>
                <w:rFonts w:ascii="Calibri" w:hAnsi="Calibri"/>
                <w:b w:val="0"/>
                <w:sz w:val="19"/>
              </w:rPr>
              <w:t>Por definir</w:t>
            </w:r>
          </w:p>
        </w:tc>
        <w:tc>
          <w:tcPr>
            <w:tcW w:type="dxa" w:w="1994"/>
          </w:tcPr>
          <w:p>
            <w:r/>
            <w:r>
              <w:rPr>
                <w:rFonts w:ascii="Calibri" w:hAnsi="Calibri"/>
                <w:b w:val="0"/>
                <w:sz w:val="19"/>
              </w:rPr>
              <w:t>Comité de Calidad</w:t>
            </w:r>
          </w:p>
        </w:tc>
        <w:tc>
          <w:tcPr>
            <w:tcW w:type="dxa" w:w="1795"/>
          </w:tcPr>
          <w:p>
            <w:r/>
            <w:r>
              <w:rPr>
                <w:rFonts w:ascii="Calibri" w:hAnsi="Calibri"/>
                <w:b w:val="0"/>
                <w:sz w:val="19"/>
              </w:rPr>
              <w:t>Trimestral</w:t>
            </w:r>
          </w:p>
        </w:tc>
      </w:tr>
      <w:tr>
        <w:tc>
          <w:tcPr>
            <w:tcW w:type="dxa" w:w="3989"/>
          </w:tcPr>
          <w:p>
            <w:r/>
            <w:r>
              <w:rPr>
                <w:rFonts w:ascii="Calibri" w:hAnsi="Calibri"/>
                <w:b w:val="0"/>
                <w:sz w:val="19"/>
              </w:rPr>
              <w:t>Instalaciones entregadas a tiempo</w:t>
            </w:r>
          </w:p>
        </w:tc>
        <w:tc>
          <w:tcPr>
            <w:tcW w:type="dxa" w:w="2194"/>
          </w:tcPr>
          <w:p>
            <w:r/>
            <w:r>
              <w:rPr>
                <w:rFonts w:ascii="Calibri" w:hAnsi="Calibri"/>
                <w:b w:val="0"/>
                <w:sz w:val="19"/>
              </w:rPr>
              <w:t>Por definir</w:t>
            </w:r>
          </w:p>
        </w:tc>
        <w:tc>
          <w:tcPr>
            <w:tcW w:type="dxa" w:w="1994"/>
          </w:tcPr>
          <w:p>
            <w:r/>
            <w:r>
              <w:rPr>
                <w:rFonts w:ascii="Calibri" w:hAnsi="Calibri"/>
                <w:b w:val="0"/>
                <w:sz w:val="19"/>
              </w:rPr>
              <w:t>Comité de Calidad</w:t>
            </w:r>
          </w:p>
        </w:tc>
        <w:tc>
          <w:tcPr>
            <w:tcW w:type="dxa" w:w="1795"/>
          </w:tcPr>
          <w:p>
            <w:r/>
            <w:r>
              <w:rPr>
                <w:rFonts w:ascii="Calibri" w:hAnsi="Calibri"/>
                <w:b w:val="0"/>
                <w:sz w:val="19"/>
              </w:rPr>
              <w:t>Trimestral</w:t>
            </w:r>
          </w:p>
        </w:tc>
      </w:tr>
      <w:tr>
        <w:tc>
          <w:tcPr>
            <w:tcW w:type="dxa" w:w="3989"/>
          </w:tcPr>
          <w:p>
            <w:r/>
            <w:r>
              <w:rPr>
                <w:rFonts w:ascii="Calibri" w:hAnsi="Calibri"/>
                <w:b w:val="0"/>
                <w:sz w:val="19"/>
              </w:rPr>
              <w:t>Tasa de retrabajo o callbacks</w:t>
            </w:r>
          </w:p>
        </w:tc>
        <w:tc>
          <w:tcPr>
            <w:tcW w:type="dxa" w:w="2194"/>
          </w:tcPr>
          <w:p>
            <w:r/>
            <w:r>
              <w:rPr>
                <w:rFonts w:ascii="Calibri" w:hAnsi="Calibri"/>
                <w:b w:val="0"/>
                <w:sz w:val="19"/>
              </w:rPr>
              <w:t>Por definir</w:t>
            </w:r>
          </w:p>
        </w:tc>
        <w:tc>
          <w:tcPr>
            <w:tcW w:type="dxa" w:w="1994"/>
          </w:tcPr>
          <w:p>
            <w:r/>
            <w:r>
              <w:rPr>
                <w:rFonts w:ascii="Calibri" w:hAnsi="Calibri"/>
                <w:b w:val="0"/>
                <w:sz w:val="19"/>
              </w:rPr>
              <w:t>Comité de Calidad</w:t>
            </w:r>
          </w:p>
        </w:tc>
        <w:tc>
          <w:tcPr>
            <w:tcW w:type="dxa" w:w="1795"/>
          </w:tcPr>
          <w:p>
            <w:r/>
            <w:r>
              <w:rPr>
                <w:rFonts w:ascii="Calibri" w:hAnsi="Calibri"/>
                <w:b w:val="0"/>
                <w:sz w:val="19"/>
              </w:rPr>
              <w:t>Trimestral</w:t>
            </w:r>
          </w:p>
        </w:tc>
      </w:tr>
      <w:tr>
        <w:tc>
          <w:tcPr>
            <w:tcW w:type="dxa" w:w="3989"/>
          </w:tcPr>
          <w:p>
            <w:r/>
            <w:r>
              <w:rPr>
                <w:rFonts w:ascii="Calibri" w:hAnsi="Calibri"/>
                <w:b w:val="0"/>
                <w:sz w:val="19"/>
              </w:rPr>
              <w:t>Desempeño del sistema (generación real vs. prometida)</w:t>
            </w:r>
          </w:p>
        </w:tc>
        <w:tc>
          <w:tcPr>
            <w:tcW w:type="dxa" w:w="2194"/>
          </w:tcPr>
          <w:p>
            <w:r/>
            <w:r>
              <w:rPr>
                <w:rFonts w:ascii="Calibri" w:hAnsi="Calibri"/>
                <w:b w:val="0"/>
                <w:sz w:val="19"/>
              </w:rPr>
              <w:t>Por definir</w:t>
            </w:r>
          </w:p>
        </w:tc>
        <w:tc>
          <w:tcPr>
            <w:tcW w:type="dxa" w:w="1994"/>
          </w:tcPr>
          <w:p>
            <w:r/>
            <w:r>
              <w:rPr>
                <w:rFonts w:ascii="Calibri" w:hAnsi="Calibri"/>
                <w:b w:val="0"/>
                <w:sz w:val="19"/>
              </w:rPr>
              <w:t>Comité de Calidad</w:t>
            </w:r>
          </w:p>
        </w:tc>
        <w:tc>
          <w:tcPr>
            <w:tcW w:type="dxa" w:w="1795"/>
          </w:tcPr>
          <w:p>
            <w:r/>
            <w:r>
              <w:rPr>
                <w:rFonts w:ascii="Calibri" w:hAnsi="Calibri"/>
                <w:b w:val="0"/>
                <w:sz w:val="19"/>
              </w:rPr>
              <w:t>Trimestral</w:t>
            </w:r>
          </w:p>
        </w:tc>
      </w:tr>
      <w:tr>
        <w:tc>
          <w:tcPr>
            <w:tcW w:type="dxa" w:w="3989"/>
          </w:tcPr>
          <w:p>
            <w:r/>
            <w:r>
              <w:rPr>
                <w:rFonts w:ascii="Calibri" w:hAnsi="Calibri"/>
                <w:b w:val="0"/>
                <w:sz w:val="19"/>
              </w:rPr>
              <w:t>Accidentes (seguridad)</w:t>
            </w:r>
          </w:p>
        </w:tc>
        <w:tc>
          <w:tcPr>
            <w:tcW w:type="dxa" w:w="2194"/>
          </w:tcPr>
          <w:p>
            <w:r/>
            <w:r>
              <w:rPr>
                <w:rFonts w:ascii="Calibri" w:hAnsi="Calibri"/>
                <w:b w:val="0"/>
                <w:sz w:val="19"/>
              </w:rPr>
              <w:t>Cero</w:t>
            </w:r>
          </w:p>
        </w:tc>
        <w:tc>
          <w:tcPr>
            <w:tcW w:type="dxa" w:w="1994"/>
          </w:tcPr>
          <w:p>
            <w:r/>
            <w:r>
              <w:rPr>
                <w:rFonts w:ascii="Calibri" w:hAnsi="Calibri"/>
                <w:b w:val="0"/>
                <w:sz w:val="19"/>
              </w:rPr>
              <w:t>Comité de Calidad</w:t>
            </w:r>
          </w:p>
        </w:tc>
        <w:tc>
          <w:tcPr>
            <w:tcW w:type="dxa" w:w="1795"/>
          </w:tcPr>
          <w:p>
            <w:r/>
            <w:r>
              <w:rPr>
                <w:rFonts w:ascii="Calibri" w:hAnsi="Calibri"/>
                <w:b w:val="0"/>
                <w:sz w:val="19"/>
              </w:rPr>
              <w:t>Trimestral</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metas marcadas como por definir se fijan en la primera revisión por la dirección, cuando se consolide la línea base de cada indicador.</w:t>
            </w:r>
          </w:p>
        </w:tc>
      </w:tr>
    </w:tbl>
    <w:p>
      <w:pPr>
        <w:spacing w:after="40"/>
      </w:pPr>
    </w:p>
    <w:p>
      <w:pPr>
        <w:keepNext/>
        <w:spacing w:before="200" w:after="60"/>
      </w:pPr>
      <w:r>
        <w:rPr>
          <w:rFonts w:ascii="Georgia" w:hAnsi="Georgia"/>
          <w:b/>
          <w:color w:val="1C242E"/>
          <w:sz w:val="22"/>
        </w:rPr>
        <w:t>6.3 Planificación de los cambios</w:t>
      </w:r>
    </w:p>
    <w:p>
      <w:pPr>
        <w:spacing w:after="120"/>
      </w:pPr>
      <w:r>
        <w:rPr>
          <w:rFonts w:ascii="Calibri" w:hAnsi="Calibri"/>
          <w:color w:val="1C242E"/>
          <w:sz w:val="21"/>
        </w:rPr>
        <w:t>Los cambios que afectan al SGC se planifican y se revisan en el Comité de Calidad, considerando su propósito, las consecuencias, la integridad del sistema y los recursos y responsabilidades necesarios.</w:t>
      </w:r>
    </w:p>
    <w:p>
      <w:pPr>
        <w:keepNext/>
        <w:spacing w:before="280" w:after="80"/>
        <w:pBdr>
          <w:bottom w:val="single" w:sz="8" w:color="F0E528"/>
        </w:pBdr>
      </w:pPr>
      <w:r>
        <w:rPr>
          <w:rFonts w:ascii="Georgia" w:hAnsi="Georgia"/>
          <w:b/>
          <w:color w:val="0056B4"/>
          <w:sz w:val="26"/>
        </w:rPr>
        <w:t>7. Apoyo</w:t>
      </w:r>
    </w:p>
    <w:p>
      <w:pPr>
        <w:keepNext/>
        <w:spacing w:before="200" w:after="60"/>
      </w:pPr>
      <w:r>
        <w:rPr>
          <w:rFonts w:ascii="Georgia" w:hAnsi="Georgia"/>
          <w:b/>
          <w:color w:val="1C242E"/>
          <w:sz w:val="22"/>
        </w:rPr>
        <w:t>7.1 Recursos</w:t>
      </w:r>
    </w:p>
    <w:p>
      <w:pPr>
        <w:spacing w:after="120"/>
      </w:pPr>
      <w:r>
        <w:rPr>
          <w:rFonts w:ascii="Calibri" w:hAnsi="Calibri"/>
          <w:color w:val="1C242E"/>
          <w:sz w:val="21"/>
        </w:rPr>
        <w:t>SolarPro provee el personal, la infraestructura y el ambiente necesarios para operar sus procesos. Los equipos de medición se calibran o verifican según aplique; entre ellos el multímetro o pinza amperimétrica, el dron y la cámara termográfica.</w:t>
      </w:r>
    </w:p>
    <w:p>
      <w:pPr>
        <w:keepNext/>
        <w:spacing w:before="200" w:after="60"/>
      </w:pPr>
      <w:r>
        <w:rPr>
          <w:rFonts w:ascii="Georgia" w:hAnsi="Georgia"/>
          <w:b/>
          <w:color w:val="1C242E"/>
          <w:sz w:val="22"/>
        </w:rPr>
        <w:t>7.1.6 Conocimientos de la organización</w:t>
      </w:r>
    </w:p>
    <w:p>
      <w:pPr>
        <w:spacing w:after="120"/>
      </w:pPr>
      <w:r>
        <w:rPr>
          <w:rFonts w:ascii="Calibri" w:hAnsi="Calibri"/>
          <w:color w:val="1C242E"/>
          <w:sz w:val="21"/>
        </w:rPr>
        <w:t>El conocimiento crítico del negocio (diseño eléctrico, interconexión ante CFE y encendido) se documenta en los procedimientos del hub para reducir la dependencia de los pocos perfiles en los que hoy se concentra la experiencia técnica, riesgo identificado en la sección 4.1.</w:t>
      </w:r>
    </w:p>
    <w:p>
      <w:pPr>
        <w:keepNext/>
        <w:spacing w:before="200" w:after="60"/>
      </w:pPr>
      <w:r>
        <w:rPr>
          <w:rFonts w:ascii="Georgia" w:hAnsi="Georgia"/>
          <w:b/>
          <w:color w:val="1C242E"/>
          <w:sz w:val="22"/>
        </w:rPr>
        <w:t>7.2 Competencia y 7.3 Conciencia</w:t>
      </w:r>
    </w:p>
    <w:p>
      <w:pPr>
        <w:spacing w:after="120"/>
      </w:pPr>
      <w:r>
        <w:rPr>
          <w:rFonts w:ascii="Calibri" w:hAnsi="Calibri"/>
          <w:color w:val="1C242E"/>
          <w:sz w:val="21"/>
        </w:rPr>
        <w:t>Las competencias por puesto están definidas en los perfiles del hub. La capacitación del personal técnico es hoy poco formal, por lo que se establece un programa de capacitación como parte del SGC. La conciencia sobre la política de calidad y los objetivos se promueve en la comunicación interna.</w:t>
      </w:r>
    </w:p>
    <w:p>
      <w:pPr>
        <w:keepNext/>
        <w:spacing w:before="200" w:after="60"/>
      </w:pPr>
      <w:r>
        <w:rPr>
          <w:rFonts w:ascii="Georgia" w:hAnsi="Georgia"/>
          <w:b/>
          <w:color w:val="1C242E"/>
          <w:sz w:val="22"/>
        </w:rPr>
        <w:t>7.4 Comunicación</w:t>
      </w:r>
    </w:p>
    <w:p>
      <w:pPr>
        <w:spacing w:after="120"/>
      </w:pPr>
      <w:r>
        <w:rPr>
          <w:rFonts w:ascii="Calibri" w:hAnsi="Calibri"/>
          <w:color w:val="1C242E"/>
          <w:sz w:val="21"/>
        </w:rPr>
        <w:t>Los temas de calidad se comunican por Trello, para el avance del proceso y el repositorio documental; por grupos de WhatsApp, para avisos, avances y requerimientos específicos; y de forma directa, por llamada o en persona, cuando el tema es puntual o fuera de estándar.</w:t>
      </w:r>
    </w:p>
    <w:p>
      <w:pPr>
        <w:keepNext/>
        <w:spacing w:before="200" w:after="60"/>
      </w:pPr>
      <w:r>
        <w:rPr>
          <w:rFonts w:ascii="Georgia" w:hAnsi="Georgia"/>
          <w:b/>
          <w:color w:val="1C242E"/>
          <w:sz w:val="22"/>
        </w:rPr>
        <w:t>7.5 Información documentada</w:t>
      </w:r>
    </w:p>
    <w:p>
      <w:pPr>
        <w:spacing w:after="120"/>
      </w:pPr>
      <w:r>
        <w:rPr>
          <w:rFonts w:ascii="Calibri" w:hAnsi="Calibri"/>
          <w:color w:val="1C242E"/>
          <w:sz w:val="21"/>
        </w:rPr>
        <w:t>El repositorio del SGC es el hub. En él se identifican, revisan, versionan y conservan los documentos del sistema (procedimientos, políticas, perfiles y formatos) y se enlazan los formatos operativos y los registros. El control de la información documentada se lleva desde el hub.</w:t>
      </w:r>
    </w:p>
    <w:p>
      <w:pPr>
        <w:keepNext/>
        <w:spacing w:before="280" w:after="80"/>
        <w:pBdr>
          <w:bottom w:val="single" w:sz="8" w:color="F0E528"/>
        </w:pBdr>
      </w:pPr>
      <w:r>
        <w:rPr>
          <w:rFonts w:ascii="Georgia" w:hAnsi="Georgia"/>
          <w:b/>
          <w:color w:val="0056B4"/>
          <w:sz w:val="26"/>
        </w:rPr>
        <w:t>8. Operación</w:t>
      </w:r>
    </w:p>
    <w:p>
      <w:pPr>
        <w:keepNext/>
        <w:spacing w:before="200" w:after="60"/>
      </w:pPr>
      <w:r>
        <w:rPr>
          <w:rFonts w:ascii="Georgia" w:hAnsi="Georgia"/>
          <w:b/>
          <w:color w:val="1C242E"/>
          <w:sz w:val="22"/>
        </w:rPr>
        <w:t>8.1 Planificación operacional</w:t>
      </w:r>
    </w:p>
    <w:p>
      <w:pPr>
        <w:spacing w:after="120"/>
      </w:pPr>
      <w:r>
        <w:rPr>
          <w:rFonts w:ascii="Calibri" w:hAnsi="Calibri"/>
          <w:color w:val="1C242E"/>
          <w:sz w:val="21"/>
        </w:rPr>
        <w:t>Cada proyecto se planifica y se controla a través de su tarjeta en Trello, que es el repositorio único del proyecto.</w:t>
      </w:r>
    </w:p>
    <w:p>
      <w:pPr>
        <w:keepNext/>
        <w:spacing w:before="200" w:after="60"/>
      </w:pPr>
      <w:r>
        <w:rPr>
          <w:rFonts w:ascii="Georgia" w:hAnsi="Georgia"/>
          <w:b/>
          <w:color w:val="1C242E"/>
          <w:sz w:val="22"/>
        </w:rPr>
        <w:t>8.2 Requisitos del cliente</w:t>
      </w:r>
    </w:p>
    <w:p>
      <w:pPr>
        <w:spacing w:after="120"/>
      </w:pPr>
      <w:r>
        <w:rPr>
          <w:rFonts w:ascii="Calibri" w:hAnsi="Calibri"/>
          <w:color w:val="1C242E"/>
          <w:sz w:val="21"/>
        </w:rPr>
        <w:t>Antes de comprometerse con el cliente, SolarPro realiza una revisión formal en la cotización y el contrato. La cotización se elabora en Control Sun, que incorpora candados de producto, marca y precio, y un segundo filtro de administración por política de stock.</w:t>
      </w:r>
    </w:p>
    <w:p>
      <w:pPr>
        <w:keepNext/>
        <w:spacing w:before="200" w:after="60"/>
      </w:pPr>
      <w:r>
        <w:rPr>
          <w:rFonts w:ascii="Georgia" w:hAnsi="Georgia"/>
          <w:b/>
          <w:color w:val="1C242E"/>
          <w:sz w:val="22"/>
        </w:rPr>
        <w:t>8.3 Diseño y desarrollo</w:t>
      </w:r>
    </w:p>
    <w:p>
      <w:pPr>
        <w:spacing w:after="120"/>
      </w:pPr>
      <w:r>
        <w:rPr>
          <w:rFonts w:ascii="Calibri" w:hAnsi="Calibri"/>
          <w:color w:val="1C242E"/>
          <w:sz w:val="21"/>
        </w:rPr>
        <w:t>SolarPro diseña el sistema eléctrico y genera la memoria de cálculo, el diagrama unifilar y el render conforme al procedimiento PRO-ING-03. Esta cláusula aplica en su totalidad.</w:t>
      </w:r>
    </w:p>
    <w:p>
      <w:pPr>
        <w:keepNext/>
        <w:spacing w:before="200" w:after="60"/>
      </w:pPr>
      <w:r>
        <w:rPr>
          <w:rFonts w:ascii="Georgia" w:hAnsi="Georgia"/>
          <w:b/>
          <w:color w:val="1C242E"/>
          <w:sz w:val="22"/>
        </w:rPr>
        <w:t>8.4 Control de proveedores y procesos externos</w:t>
      </w:r>
    </w:p>
    <w:p>
      <w:pPr>
        <w:spacing w:after="120"/>
      </w:pPr>
      <w:r>
        <w:rPr>
          <w:rFonts w:ascii="Calibri" w:hAnsi="Calibri"/>
          <w:color w:val="1C242E"/>
          <w:sz w:val="21"/>
        </w:rPr>
        <w:t>Los proveedores de módulos e inversores se eligen y evalúan por stock, tiempo de entrega, precio y garantía; la atención se considera pero hoy no es determinante. Las cuadrillas de instalación externas, hoy entre el 0 y el 20 por ciento del trabajo, se controlan como proceso contratado externamente.</w:t>
      </w:r>
    </w:p>
    <w:p>
      <w:pPr>
        <w:keepNext/>
        <w:spacing w:before="200" w:after="60"/>
      </w:pPr>
      <w:r>
        <w:rPr>
          <w:rFonts w:ascii="Georgia" w:hAnsi="Georgia"/>
          <w:b/>
          <w:color w:val="1C242E"/>
          <w:sz w:val="22"/>
        </w:rPr>
        <w:t>8.5 Producción y provisión del servicio</w:t>
      </w:r>
    </w:p>
    <w:p>
      <w:pPr>
        <w:spacing w:after="120"/>
      </w:pPr>
      <w:r>
        <w:rPr>
          <w:rFonts w:ascii="Calibri" w:hAnsi="Calibri"/>
          <w:color w:val="1C242E"/>
          <w:sz w:val="21"/>
        </w:rPr>
        <w:t>La instalación y el encendido se realizan en condiciones controladas, con identificación y trazabilidad del proyecto en Trello. Se protege la propiedad del cliente (recibo de CFE, accesos y datos) y se preservan los materiales. Las actividades posteriores a la entrega se gestionan por Postventa (procedimientos PRO-PVM).</w:t>
      </w:r>
    </w:p>
    <w:p>
      <w:pPr>
        <w:keepNext/>
        <w:spacing w:before="200" w:after="60"/>
      </w:pPr>
      <w:r>
        <w:rPr>
          <w:rFonts w:ascii="Georgia" w:hAnsi="Georgia"/>
          <w:b/>
          <w:color w:val="1C242E"/>
          <w:sz w:val="22"/>
        </w:rPr>
        <w:t>8.6 Liberación del producto y el servicio</w:t>
      </w:r>
    </w:p>
    <w:p>
      <w:pPr>
        <w:spacing w:after="120"/>
      </w:pPr>
      <w:r>
        <w:rPr>
          <w:rFonts w:ascii="Calibri" w:hAnsi="Calibri"/>
          <w:color w:val="1C242E"/>
          <w:sz w:val="21"/>
        </w:rPr>
        <w:t>La entrega al cliente se cierra siempre con el acta de encendido o de conformidad, que libera la instalación.</w:t>
      </w:r>
    </w:p>
    <w:p>
      <w:pPr>
        <w:keepNext/>
        <w:spacing w:before="200" w:after="60"/>
      </w:pPr>
      <w:r>
        <w:rPr>
          <w:rFonts w:ascii="Georgia" w:hAnsi="Georgia"/>
          <w:b/>
          <w:color w:val="1C242E"/>
          <w:sz w:val="22"/>
        </w:rPr>
        <w:t>8.7 Control de salidas no conformes</w:t>
      </w:r>
    </w:p>
    <w:p>
      <w:pPr>
        <w:spacing w:after="120"/>
      </w:pPr>
      <w:r>
        <w:rPr>
          <w:rFonts w:ascii="Calibri" w:hAnsi="Calibri"/>
          <w:color w:val="1C242E"/>
          <w:sz w:val="21"/>
        </w:rPr>
        <w:t>Cuando algo sale no conforme, como una falla o un retrabajo, se levanta un ticket con la evidencia en Trello y se canaliza al área que corresponde.</w:t>
      </w:r>
    </w:p>
    <w:p>
      <w:pPr>
        <w:keepNext/>
        <w:spacing w:before="280" w:after="80"/>
        <w:pBdr>
          <w:bottom w:val="single" w:sz="8" w:color="F0E528"/>
        </w:pBdr>
      </w:pPr>
      <w:r>
        <w:rPr>
          <w:rFonts w:ascii="Georgia" w:hAnsi="Georgia"/>
          <w:b/>
          <w:color w:val="0056B4"/>
          <w:sz w:val="26"/>
        </w:rPr>
        <w:t>9. Evaluación del desempeño</w:t>
      </w:r>
    </w:p>
    <w:p>
      <w:pPr>
        <w:keepNext/>
        <w:spacing w:before="200" w:after="60"/>
      </w:pPr>
      <w:r>
        <w:rPr>
          <w:rFonts w:ascii="Georgia" w:hAnsi="Georgia"/>
          <w:b/>
          <w:color w:val="1C242E"/>
          <w:sz w:val="22"/>
        </w:rPr>
        <w:t>9.1 Seguimiento, medición y satisfacción del cliente</w:t>
      </w:r>
    </w:p>
    <w:p>
      <w:pPr>
        <w:spacing w:after="120"/>
      </w:pPr>
      <w:r>
        <w:rPr>
          <w:rFonts w:ascii="Calibri" w:hAnsi="Calibri"/>
          <w:color w:val="1C242E"/>
          <w:sz w:val="21"/>
        </w:rPr>
        <w:t>SolarPro mide la satisfacción del cliente mediante una encuesta de postventa, que Servicio a Cliente documenta en un formato y consolida en un concentrado, cargado en Trello. Los objetivos de calidad de la sección 6.2 se miden con la frecuencia indicada.</w:t>
      </w:r>
    </w:p>
    <w:p>
      <w:pPr>
        <w:keepNext/>
        <w:spacing w:before="200" w:after="60"/>
      </w:pPr>
      <w:r>
        <w:rPr>
          <w:rFonts w:ascii="Georgia" w:hAnsi="Georgia"/>
          <w:b/>
          <w:color w:val="1C242E"/>
          <w:sz w:val="22"/>
        </w:rPr>
        <w:t>9.2 Auditoría interna</w:t>
      </w:r>
    </w:p>
    <w:p>
      <w:pPr>
        <w:spacing w:after="120"/>
      </w:pPr>
      <w:r>
        <w:rPr>
          <w:rFonts w:ascii="Calibri" w:hAnsi="Calibri"/>
          <w:color w:val="1C242E"/>
          <w:sz w:val="21"/>
        </w:rPr>
        <w:t>El SGC se audita internamente con frecuencia semestral, mediante un programa de auditoría que se establece como parte del sistema. Hoy no existe una auditoría formal, por lo que su puesta en marcha es una acción del SGC.</w:t>
      </w:r>
    </w:p>
    <w:p>
      <w:pPr>
        <w:keepNext/>
        <w:spacing w:before="200" w:after="60"/>
      </w:pPr>
      <w:r>
        <w:rPr>
          <w:rFonts w:ascii="Georgia" w:hAnsi="Georgia"/>
          <w:b/>
          <w:color w:val="1C242E"/>
          <w:sz w:val="22"/>
        </w:rPr>
        <w:t>9.3 Revisión por la dirección</w:t>
      </w:r>
    </w:p>
    <w:p>
      <w:pPr>
        <w:spacing w:after="120"/>
      </w:pPr>
      <w:r>
        <w:rPr>
          <w:rFonts w:ascii="Calibri" w:hAnsi="Calibri"/>
          <w:color w:val="1C242E"/>
          <w:sz w:val="21"/>
        </w:rPr>
        <w:t>La dirección revisa el SGC con cadencia trimestral. Participan la Dirección General, la Gerencia Comercial, la Gerencia Administrativa, la Coordinación de Ingeniería y la Coordinación de Instalaciones. La revisión toma como entradas el desempeño de los objetivos, la satisfacción del cliente, las no conformidades y las oportunidades de mejora, y produce decisiones de mejora, cambios y recursos.</w:t>
      </w:r>
    </w:p>
    <w:p>
      <w:pPr>
        <w:keepNext/>
        <w:spacing w:before="280" w:after="80"/>
        <w:pBdr>
          <w:bottom w:val="single" w:sz="8" w:color="F0E528"/>
        </w:pBdr>
      </w:pPr>
      <w:r>
        <w:rPr>
          <w:rFonts w:ascii="Georgia" w:hAnsi="Georgia"/>
          <w:b/>
          <w:color w:val="0056B4"/>
          <w:sz w:val="26"/>
        </w:rPr>
        <w:t>10. Mejora</w:t>
      </w:r>
    </w:p>
    <w:p>
      <w:pPr>
        <w:keepNext/>
        <w:spacing w:before="200" w:after="60"/>
      </w:pPr>
      <w:r>
        <w:rPr>
          <w:rFonts w:ascii="Georgia" w:hAnsi="Georgia"/>
          <w:b/>
          <w:color w:val="1C242E"/>
          <w:sz w:val="22"/>
        </w:rPr>
        <w:t>10.1 Generalidades</w:t>
      </w:r>
    </w:p>
    <w:p>
      <w:pPr>
        <w:spacing w:after="120"/>
      </w:pPr>
      <w:r>
        <w:rPr>
          <w:rFonts w:ascii="Calibri" w:hAnsi="Calibri"/>
          <w:color w:val="1C242E"/>
          <w:sz w:val="21"/>
        </w:rPr>
        <w:t>SolarPro determina y selecciona las oportunidades de mejora para cumplir los requisitos del cliente y aumentar su satisfacción.</w:t>
      </w:r>
    </w:p>
    <w:p>
      <w:pPr>
        <w:keepNext/>
        <w:spacing w:before="200" w:after="60"/>
      </w:pPr>
      <w:r>
        <w:rPr>
          <w:rFonts w:ascii="Georgia" w:hAnsi="Georgia"/>
          <w:b/>
          <w:color w:val="1C242E"/>
          <w:sz w:val="22"/>
        </w:rPr>
        <w:t>10.2 No conformidad y acción correctiva</w:t>
      </w:r>
    </w:p>
    <w:p>
      <w:pPr>
        <w:spacing w:after="120"/>
      </w:pPr>
      <w:r>
        <w:rPr>
          <w:rFonts w:ascii="Calibri" w:hAnsi="Calibri"/>
          <w:color w:val="1C242E"/>
          <w:sz w:val="21"/>
        </w:rPr>
        <w:t>Hoy, ante un problema recurrente, se tiende a resolver el síntoma. El SGC adopta el análisis de la causa raíz para las no conformidades relevantes, de modo que la corrección evite la recurrencia y actualice los riesgos. Las quejas y fallas se capturan por Postventa en Trello mediante un folio específico, por contacto directo del cliente y por la encuesta de satisfacción; se cierra la brecha actual de que no toda queja o falla queda documentada.</w:t>
      </w:r>
    </w:p>
    <w:p>
      <w:pPr>
        <w:keepNext/>
        <w:spacing w:before="200" w:after="60"/>
      </w:pPr>
      <w:r>
        <w:rPr>
          <w:rFonts w:ascii="Georgia" w:hAnsi="Georgia"/>
          <w:b/>
          <w:color w:val="1C242E"/>
          <w:sz w:val="22"/>
        </w:rPr>
        <w:t>10.3 Mejora continua</w:t>
      </w:r>
    </w:p>
    <w:p>
      <w:pPr>
        <w:spacing w:after="120"/>
      </w:pPr>
      <w:r>
        <w:rPr>
          <w:rFonts w:ascii="Calibri" w:hAnsi="Calibri"/>
          <w:color w:val="1C242E"/>
          <w:sz w:val="21"/>
        </w:rPr>
        <w:t>La mejora continua del SGC se sostiene en el ciclo PHVA, en los resultados de la auditoría interna y de la revisión por la dirección, y en las lecciones aprendidas de la postventa.</w:t>
      </w:r>
    </w:p>
    <w:p>
      <w:pPr>
        <w:keepNext/>
        <w:spacing w:before="280" w:after="80"/>
        <w:pBdr>
          <w:bottom w:val="single" w:sz="8" w:color="F0E528"/>
        </w:pBdr>
      </w:pPr>
      <w:r>
        <w:rPr>
          <w:rFonts w:ascii="Georgia" w:hAnsi="Georgia"/>
          <w:b/>
          <w:color w:val="0056B4"/>
          <w:sz w:val="26"/>
        </w:rPr>
        <w:t>ANEXOS</w:t>
      </w:r>
    </w:p>
    <w:p>
      <w:pPr>
        <w:keepNext/>
        <w:spacing w:before="200" w:after="60"/>
      </w:pPr>
      <w:r>
        <w:rPr>
          <w:rFonts w:ascii="Georgia" w:hAnsi="Georgia"/>
          <w:b/>
          <w:color w:val="1C242E"/>
          <w:sz w:val="22"/>
        </w:rPr>
        <w:t>A.1 Matriz de correlación cláusula y documento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Cláusula ISO</w:t>
            </w:r>
          </w:p>
        </w:tc>
        <w:tc>
          <w:tcPr>
            <w:tcW w:type="dxa" w:w="6980"/>
            <w:shd w:val="clear" w:fill="0056B4"/>
          </w:tcPr>
          <w:p>
            <w:pPr>
              <w:jc w:val="center"/>
            </w:pPr>
            <w:r/>
            <w:r>
              <w:rPr>
                <w:rFonts w:ascii="Calibri" w:hAnsi="Calibri"/>
                <w:b/>
                <w:color w:val="FFFFFF"/>
                <w:sz w:val="17"/>
              </w:rPr>
              <w:t>Documento del SGC</w:t>
            </w:r>
          </w:p>
        </w:tc>
      </w:tr>
      <w:tr>
        <w:tc>
          <w:tcPr>
            <w:tcW w:type="dxa" w:w="2992"/>
          </w:tcPr>
          <w:p>
            <w:r/>
            <w:r>
              <w:rPr>
                <w:rFonts w:ascii="Calibri" w:hAnsi="Calibri"/>
                <w:b w:val="0"/>
                <w:sz w:val="19"/>
              </w:rPr>
              <w:t>4.4 Procesos</w:t>
            </w:r>
          </w:p>
        </w:tc>
        <w:tc>
          <w:tcPr>
            <w:tcW w:type="dxa" w:w="6980"/>
          </w:tcPr>
          <w:p>
            <w:r/>
            <w:r>
              <w:rPr>
                <w:rFonts w:ascii="Calibri" w:hAnsi="Calibri"/>
                <w:b w:val="0"/>
                <w:sz w:val="19"/>
              </w:rPr>
              <w:t>SOL-PROC-001 y procedimientos por área (PRO-ING, PRO-VEN, PRO-PVM)</w:t>
            </w:r>
          </w:p>
        </w:tc>
      </w:tr>
      <w:tr>
        <w:tc>
          <w:tcPr>
            <w:tcW w:type="dxa" w:w="2992"/>
          </w:tcPr>
          <w:p>
            <w:r/>
            <w:r>
              <w:rPr>
                <w:rFonts w:ascii="Calibri" w:hAnsi="Calibri"/>
                <w:b w:val="0"/>
                <w:sz w:val="19"/>
              </w:rPr>
              <w:t>8.2 Requisitos del cliente</w:t>
            </w:r>
          </w:p>
        </w:tc>
        <w:tc>
          <w:tcPr>
            <w:tcW w:type="dxa" w:w="6980"/>
          </w:tcPr>
          <w:p>
            <w:r/>
            <w:r>
              <w:rPr>
                <w:rFonts w:ascii="Calibri" w:hAnsi="Calibri"/>
                <w:b w:val="0"/>
                <w:sz w:val="19"/>
              </w:rPr>
              <w:t>PRO-VEN-02 y PRO-VEN-03; Control Sun</w:t>
            </w:r>
          </w:p>
        </w:tc>
      </w:tr>
      <w:tr>
        <w:tc>
          <w:tcPr>
            <w:tcW w:type="dxa" w:w="2992"/>
          </w:tcPr>
          <w:p>
            <w:r/>
            <w:r>
              <w:rPr>
                <w:rFonts w:ascii="Calibri" w:hAnsi="Calibri"/>
                <w:b w:val="0"/>
                <w:sz w:val="19"/>
              </w:rPr>
              <w:t>8.3 Diseño y desarrollo</w:t>
            </w:r>
          </w:p>
        </w:tc>
        <w:tc>
          <w:tcPr>
            <w:tcW w:type="dxa" w:w="6980"/>
          </w:tcPr>
          <w:p>
            <w:r/>
            <w:r>
              <w:rPr>
                <w:rFonts w:ascii="Calibri" w:hAnsi="Calibri"/>
                <w:b w:val="0"/>
                <w:sz w:val="19"/>
              </w:rPr>
              <w:t>PRO-ING-03</w:t>
            </w:r>
          </w:p>
        </w:tc>
      </w:tr>
      <w:tr>
        <w:tc>
          <w:tcPr>
            <w:tcW w:type="dxa" w:w="2992"/>
          </w:tcPr>
          <w:p>
            <w:r/>
            <w:r>
              <w:rPr>
                <w:rFonts w:ascii="Calibri" w:hAnsi="Calibri"/>
                <w:b w:val="0"/>
                <w:sz w:val="19"/>
              </w:rPr>
              <w:t>8.5 y 8.6 Producción y liberación</w:t>
            </w:r>
          </w:p>
        </w:tc>
        <w:tc>
          <w:tcPr>
            <w:tcW w:type="dxa" w:w="6980"/>
          </w:tcPr>
          <w:p>
            <w:r/>
            <w:r>
              <w:rPr>
                <w:rFonts w:ascii="Calibri" w:hAnsi="Calibri"/>
                <w:b w:val="0"/>
                <w:sz w:val="19"/>
              </w:rPr>
              <w:t>PRO-ING-04 y acta de encendido; acta de conformidad</w:t>
            </w:r>
          </w:p>
        </w:tc>
      </w:tr>
      <w:tr>
        <w:tc>
          <w:tcPr>
            <w:tcW w:type="dxa" w:w="2992"/>
          </w:tcPr>
          <w:p>
            <w:r/>
            <w:r>
              <w:rPr>
                <w:rFonts w:ascii="Calibri" w:hAnsi="Calibri"/>
                <w:b w:val="0"/>
                <w:sz w:val="19"/>
              </w:rPr>
              <w:t>8.5.5 Postentrega y postventa</w:t>
            </w:r>
          </w:p>
        </w:tc>
        <w:tc>
          <w:tcPr>
            <w:tcW w:type="dxa" w:w="6980"/>
          </w:tcPr>
          <w:p>
            <w:r/>
            <w:r>
              <w:rPr>
                <w:rFonts w:ascii="Calibri" w:hAnsi="Calibri"/>
                <w:b w:val="0"/>
                <w:sz w:val="19"/>
              </w:rPr>
              <w:t>PRO-PVM-01 a 05 y sus formatos</w:t>
            </w:r>
          </w:p>
        </w:tc>
      </w:tr>
      <w:tr>
        <w:tc>
          <w:tcPr>
            <w:tcW w:type="dxa" w:w="2992"/>
          </w:tcPr>
          <w:p>
            <w:r/>
            <w:r>
              <w:rPr>
                <w:rFonts w:ascii="Calibri" w:hAnsi="Calibri"/>
                <w:b w:val="0"/>
                <w:sz w:val="19"/>
              </w:rPr>
              <w:t>9.1.2 Satisfacción del cliente</w:t>
            </w:r>
          </w:p>
        </w:tc>
        <w:tc>
          <w:tcPr>
            <w:tcW w:type="dxa" w:w="6980"/>
          </w:tcPr>
          <w:p>
            <w:r/>
            <w:r>
              <w:rPr>
                <w:rFonts w:ascii="Calibri" w:hAnsi="Calibri"/>
                <w:b w:val="0"/>
                <w:sz w:val="19"/>
              </w:rPr>
              <w:t>Encuesta de postventa y concentrado</w:t>
            </w:r>
          </w:p>
        </w:tc>
      </w:tr>
      <w:tr>
        <w:tc>
          <w:tcPr>
            <w:tcW w:type="dxa" w:w="2992"/>
          </w:tcPr>
          <w:p>
            <w:r/>
            <w:r>
              <w:rPr>
                <w:rFonts w:ascii="Calibri" w:hAnsi="Calibri"/>
                <w:b w:val="0"/>
                <w:sz w:val="19"/>
              </w:rPr>
              <w:t>9.2 y 9.3 Auditoría y revisión</w:t>
            </w:r>
          </w:p>
        </w:tc>
        <w:tc>
          <w:tcPr>
            <w:tcW w:type="dxa" w:w="6980"/>
          </w:tcPr>
          <w:p>
            <w:r/>
            <w:r>
              <w:rPr>
                <w:rFonts w:ascii="Calibri" w:hAnsi="Calibri"/>
                <w:b w:val="0"/>
                <w:sz w:val="19"/>
              </w:rPr>
              <w:t>Programa de auditoría y acta de revisión por la dirección (a construir)</w:t>
            </w:r>
          </w:p>
        </w:tc>
      </w:tr>
    </w:tbl>
    <w:p>
      <w:pPr>
        <w:keepNext/>
        <w:spacing w:before="200" w:after="60"/>
      </w:pPr>
      <w:r>
        <w:rPr>
          <w:rFonts w:ascii="Georgia" w:hAnsi="Georgia"/>
          <w:b/>
          <w:color w:val="1C242E"/>
          <w:sz w:val="22"/>
        </w:rPr>
        <w:t>A.2 Mapa de procesos y A.3 Organigrama</w:t>
      </w:r>
    </w:p>
    <w:p>
      <w:pPr>
        <w:spacing w:after="120"/>
      </w:pPr>
      <w:r>
        <w:rPr>
          <w:rFonts w:ascii="Calibri" w:hAnsi="Calibri"/>
          <w:color w:val="1C242E"/>
          <w:sz w:val="21"/>
        </w:rPr>
        <w:t>El mapa de procesos y el organigrama (vista actual y propuesta) viven en el hub, en los módulos correspondientes, y se consideran parte de este manual por referencia.</w:t>
      </w:r>
    </w:p>
    <w:p>
      <w:pPr>
        <w:keepNext/>
        <w:spacing w:before="200" w:after="60"/>
      </w:pPr>
      <w:r>
        <w:rPr>
          <w:rFonts w:ascii="Georgia" w:hAnsi="Georgia"/>
          <w:b/>
          <w:color w:val="1C242E"/>
          <w:sz w:val="22"/>
        </w:rPr>
        <w:t>A.4 Índice documental</w:t>
      </w:r>
    </w:p>
    <w:p>
      <w:pPr>
        <w:spacing w:after="120"/>
      </w:pPr>
      <w:r>
        <w:rPr>
          <w:rFonts w:ascii="Calibri" w:hAnsi="Calibri"/>
          <w:color w:val="1C242E"/>
          <w:sz w:val="21"/>
        </w:rPr>
        <w:t>El índice documental maestro del SGC es el módulo de Documentos del hub, que agrupa por área los procedimientos, políticas, perfiles y formatos vigentes.</w:t>
      </w: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Manual de Calidad · MC-SP-01 V1.0</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