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Matriz de partes interesadas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SolarPro · Sistema de Gestión de Calidad ISO 9001:2015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 S.A. de C.V. (SolarPro)</w:t>
      </w:r>
    </w:p>
    <w:p>
      <w:pPr>
        <w:jc w:val="center"/>
      </w:pPr>
      <w:r>
        <w:rPr>
          <w:color w:val="595959"/>
          <w:sz w:val="20"/>
        </w:rPr>
        <w:t>MAT-PI-001  ·  Versión 1  ·  17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MAT-PI-001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17 de septiembre de 2026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Septiembre 2027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Interno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 S.A. de C.V. (SolarPro)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Matriz Chihuahua; operación Ciudad Juárez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17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 derivada de la cláusula 4.2 del SGC (ISO 9001:2015).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numtitulo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Identificar las partes interesadas pertinentes del Sistema de Gestion de Calidad de Soluciones Energeticas JEA, S.A. de C.V. (marcas SolarPro y Capital Climas), determinar sus requisitos y expectativas, y valorar su nivel de influencia, con el fin de asegurar que el SGC considere aquellas necesidades que impactan la capacidad de la organizacion para entregar productos y servicios conformes en el diseno, comercializacion e instalacion de sistemas fotovoltaicos.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Alcance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Aplica a todas las partes interesadas, internas y externas, relacionadas con las actividades del SGC. Comprende clientes, autoridades y reguladores, proveedores de equipo, proveedores de servicio de instalacion, instituciones financieras aliadas, dependencias de gobierno, colaboradores y la propia Direccion General y accionistas. La matriz es un insumo del analisis de contexto, de la matriz de riesgos MAT-RIE-001 y de la revision por la direccion.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Alcance geografico del SGC (sedes o ubicaciones cubiertas), alineado con el declarado en el Manual de Calidad MC-SP-01.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Definiciones</w:t>
      </w:r>
    </w:p>
    <w:p>
      <w:pPr>
        <w:pStyle w:val="ListBullet"/>
      </w:pPr>
      <w:r>
        <w:rPr>
          <w:rFonts w:ascii="Calibri" w:hAnsi="Calibri"/>
          <w:sz w:val="20"/>
        </w:rPr>
        <w:t>Parte interesada: persona u organizacion que puede afectar, verse afectada o percibirse como afectada por una decision o actividad de la organizacion.</w:t>
      </w:r>
    </w:p>
    <w:p>
      <w:pPr>
        <w:pStyle w:val="ListBullet"/>
      </w:pPr>
      <w:r>
        <w:rPr>
          <w:rFonts w:ascii="Calibri" w:hAnsi="Calibri"/>
          <w:sz w:val="20"/>
        </w:rPr>
        <w:t>Requisito: necesidad o expectativa establecida, generalmente implicita u obligatoria.</w:t>
      </w:r>
    </w:p>
    <w:p>
      <w:pPr>
        <w:pStyle w:val="ListBullet"/>
      </w:pPr>
      <w:r>
        <w:rPr>
          <w:rFonts w:ascii="Calibri" w:hAnsi="Calibri"/>
          <w:sz w:val="20"/>
        </w:rPr>
        <w:t>Requisito pertinente: aquel que la organizacion decide atender por su impacto en la capacidad de entregar productos y servicios conformes.</w:t>
      </w:r>
    </w:p>
    <w:p>
      <w:pPr>
        <w:pStyle w:val="ListBullet"/>
      </w:pPr>
      <w:r>
        <w:rPr>
          <w:rFonts w:ascii="Calibri" w:hAnsi="Calibri"/>
          <w:sz w:val="20"/>
        </w:rPr>
        <w:t>Nivel de influencia: grado en que una parte interesada puede afectar el desempeno del SGC, la operacion o la continuidad del negocio.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Responsabilidades</w:t>
      </w:r>
    </w:p>
    <w:p>
      <w:pPr>
        <w:pStyle w:val="ListNumber"/>
      </w:pPr>
      <w:r>
        <w:rPr>
          <w:b/>
          <w:sz w:val="20"/>
        </w:rPr>
        <w:t xml:space="preserve">Gerencia Administrativa y Gerencia Comercial (responsables de la matriz). </w:t>
      </w:r>
      <w:r>
        <w:rPr>
          <w:rFonts w:ascii="Calibri" w:hAnsi="Calibri"/>
          <w:sz w:val="20"/>
        </w:rPr>
        <w:t>Elaborar y mantener actualizada la matriz, volcar el listado de partes interesadas ya identificado por el equipo y consolidar los requisitos y niveles de influencia.</w:t>
      </w:r>
    </w:p>
    <w:p>
      <w:pPr>
        <w:pStyle w:val="ListNumber"/>
      </w:pPr>
      <w:r>
        <w:rPr>
          <w:b/>
          <w:sz w:val="20"/>
        </w:rPr>
        <w:t xml:space="preserve">Gerencia Administrativa (custodio del SGC). </w:t>
      </w:r>
      <w:r>
        <w:rPr>
          <w:rFonts w:ascii="Calibri" w:hAnsi="Calibri"/>
          <w:sz w:val="20"/>
        </w:rPr>
        <w:t>Resguardar el documento, controlar las versiones y asegurar su disponibilidad para el personal que lo requiera.</w:t>
      </w:r>
    </w:p>
    <w:p>
      <w:pPr>
        <w:pStyle w:val="ListNumber"/>
      </w:pPr>
      <w:r>
        <w:rPr>
          <w:b/>
          <w:sz w:val="20"/>
        </w:rPr>
        <w:t xml:space="preserve">Direccion General. </w:t>
      </w:r>
      <w:r>
        <w:rPr>
          <w:rFonts w:ascii="Calibri" w:hAnsi="Calibri"/>
          <w:sz w:val="20"/>
        </w:rPr>
        <w:t>Revisar y aprobar la matriz y considerar sus resultados en la revision por la direccion.</w:t>
      </w:r>
    </w:p>
    <w:p>
      <w:pPr>
        <w:pStyle w:val="ListNumber"/>
      </w:pPr>
      <w:r>
        <w:rPr>
          <w:b/>
          <w:sz w:val="20"/>
        </w:rPr>
        <w:t xml:space="preserve">Responsables de area (Comercial, Ingenieria, Instalaciones y Operaciones, Postventa, Almacen). </w:t>
      </w:r>
      <w:r>
        <w:rPr>
          <w:rFonts w:ascii="Calibri" w:hAnsi="Calibri"/>
          <w:sz w:val="20"/>
        </w:rPr>
        <w:t>Aportar informacion sobre las partes interesadas de su ambito y atender los requisitos que les corresponden.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Metodologia de identificacion y evaluacion</w:t>
      </w:r>
    </w:p>
    <w:p>
      <w:pPr>
        <w:pStyle w:val="ListNumber"/>
      </w:pPr>
      <w:r>
        <w:rPr>
          <w:b/>
          <w:sz w:val="20"/>
        </w:rPr>
        <w:t xml:space="preserve">Identificacion. </w:t>
      </w:r>
      <w:r>
        <w:rPr>
          <w:rFonts w:ascii="Calibri" w:hAnsi="Calibri"/>
          <w:sz w:val="20"/>
        </w:rPr>
        <w:t>Se listan las partes que afectan o son afectadas por el SGC, partiendo de las categorias de esta matriz y del listado ya identificado por el equipo de SolarPro.</w:t>
      </w:r>
    </w:p>
    <w:p>
      <w:pPr>
        <w:pStyle w:val="ListNumber"/>
      </w:pPr>
      <w:r>
        <w:rPr>
          <w:b/>
          <w:sz w:val="20"/>
        </w:rPr>
        <w:t xml:space="preserve">Determinacion de requisitos y expectativas. </w:t>
      </w:r>
      <w:r>
        <w:rPr>
          <w:rFonts w:ascii="Calibri" w:hAnsi="Calibri"/>
          <w:sz w:val="20"/>
        </w:rPr>
        <w:t>Para cada parte se definen sus necesidades explicitas e implicitas, asi como las expectativas de la organizacion hacia ella cuando aplica.</w:t>
      </w:r>
    </w:p>
    <w:p>
      <w:pPr>
        <w:pStyle w:val="ListNumber"/>
      </w:pPr>
      <w:r>
        <w:rPr>
          <w:b/>
          <w:sz w:val="20"/>
        </w:rPr>
        <w:t xml:space="preserve">Evaluacion de pertinencia e influencia. </w:t>
      </w:r>
      <w:r>
        <w:rPr>
          <w:rFonts w:ascii="Calibri" w:hAnsi="Calibri"/>
          <w:sz w:val="20"/>
        </w:rPr>
        <w:t>Se valora que tanto cada parte puede afectar la operacion, la legalidad o la continuidad del negocio, y se le asigna un nivel de influencia conforme a la escala de tres niveles (Alta, Media, Baja) y a los criterios de valoracion definidos en esta seccion.</w:t>
      </w:r>
    </w:p>
    <w:p>
      <w:pPr>
        <w:pStyle w:val="ListNumber"/>
      </w:pPr>
      <w:r>
        <w:rPr>
          <w:b/>
          <w:sz w:val="20"/>
        </w:rPr>
        <w:t xml:space="preserve">Definicion del seguimiento. </w:t>
      </w:r>
      <w:r>
        <w:rPr>
          <w:rFonts w:ascii="Calibri" w:hAnsi="Calibri"/>
          <w:sz w:val="20"/>
        </w:rPr>
        <w:t>Se establece el metodo por el cual se dara seguimiento a los requisitos y a los cambios en las expectativas de cada parte.</w:t>
      </w:r>
    </w:p>
    <w:p>
      <w:pPr>
        <w:pStyle w:val="ListNumber"/>
      </w:pPr>
      <w:r>
        <w:rPr>
          <w:b/>
          <w:sz w:val="20"/>
        </w:rPr>
        <w:t xml:space="preserve">Revision y actualizacion. </w:t>
      </w:r>
      <w:r>
        <w:rPr>
          <w:rFonts w:ascii="Calibri" w:hAnsi="Calibri"/>
          <w:sz w:val="20"/>
        </w:rPr>
        <w:t>La matriz se revisa de forma periodica y ante cambios relevantes en el contexto de la organizacion.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nivel de influencia de cada parte interesada se determina con la siguiente escala de tres niveles y sus criterios de valoracion. Los niveles asignados en la matriz de la seccion 6 son una propuesta de referencia de DETA y deben confirmarse con el equipo de SolarPro.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Criterio de valoracion</w:t>
            </w:r>
          </w:p>
        </w:tc>
        <w:tc>
          <w:tcPr>
            <w:tcW w:type="dxa" w:w="332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Implicacion para el SGC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Parte cuyas necesidades condicionan de forma directa la operacion, la legalidad o la continuidad del negocio.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Seguimiento prioritario y requisitos incorporados de manera explicita al SGC.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Media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Parte que influye de forma relevante pero no determinante en el desempeno del SGC.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Seguimiento periodico de sus requisitos y expectativas.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Baja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Parte con influencia ocasional o indirecta.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/>
                <w:b w:val="0"/>
                <w:sz w:val="19"/>
              </w:rPr>
              <w:t>Seguimiento segun aplique, sin control especifico permanente.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Confirmar el nivel de influencia asignado a cada parte interesada con base en el juicio del equipo, ya que los niveles propuestos en la matriz son de referencia.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Matriz de partes interesadas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La siguiente matriz consolida las partes interesadas, sus requisitos y expectativas, el nivel de influencia propuesto y el metodo de seguimiento. Los requisitos aqui descritos son de referencia y deben ajustarse a los que el equipo de SolarPro tiene identificados.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Parte interesada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Categoria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Requisitos y expectativas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 de influencia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Metodo de seguimiento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Clientes residenciales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Reduccion de su consumo y facturacion electrica, instalacion segura y en tiempo, garantia de equipos, informacion clara del ahorro estimado, atencion postventa y soporte.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Encuestas de satisfaccion, seguimiento postventa (PRO-PVM-01 y PRO-PVM-03), atencion de quejas.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Clientes comerciales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Cliente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Retorno de inversion, dimensionamiento correcto a su demanda, documentacion tecnica y fiscal completa, cumplimiento de tiempos de obra, minima interrupcion de su operacion, mantenimiento.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Revision de proyecto (PRO-ING-05), seguimiento de obra (PRO-OPE-03 y PRO-OPE-04), encuestas de satisfaccion.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CFE (Comision Federal de Electricidad)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Regulador tecnico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Cumplimiento de las especificaciones de interconexion, tramites de contrato de interconexion completos y correctos, equipos y medidor conforme a norma, seguridad electrica.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Verificacion de requisitos de interconexion, control de tramites por proyecto.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Proveedores de paneles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Proveedor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Pedidos y especificaciones claras, pronostico de demanda, pago en los plazos acordados y relacion comercial estable. SolarPro espera calidad certificada, cumplimiento de entrega y respaldo de garantia.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Evaluacion y reevaluacion de proveedores (PRO-PRV-001), seguimiento de entregas.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Proveedores de inversores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Proveedor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Pedidos claros, pago en tiempo y previsibilidad de demanda. SolarPro espera compatibilidad tecnica, calidad certificada, soporte y garantia del equipo.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Evaluacion de proveedores (PRO-PRV-001), soporte tecnico y control de garantias.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Instaladores y subcontratistas de instalacion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Proveedor de servicio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Alcance de trabajo definido, condiciones de seguridad, especificaciones tecnicas claras y pago en tiempo. SolarPro espera cumplimiento de las normas de instalacion, calidad, seguridad y tiempos.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Media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Supervision de obra, criterios de aceptacion (PRO-OPE-03 y PRO-OPE-04), evaluacion de desempeno.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Financieras e instituciones de credito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Aliado comercial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Informacion veraz del cliente y del proyecto, documentacion completa, cumplimiento de convenios y cartera sana. SolarPro espera aprobacion agil, condiciones competitivas para el cliente y procesos claros.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Media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Seguimiento de convenios y control de expedientes de credito.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Gobierno y autoridades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Externo / Regulador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Cumplimiento de las disposiciones aplicables (fiscales, de seguridad, ambientales, de construccion y proteccion civil segun corresponda), permisos y licencias vigentes, y veracidad de la informacion.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Control de cumplimiento legal y de permisos por sede.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Colaboradores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Interno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Condiciones de trabajo seguras, capacitacion, claridad de funciones y responsabilidades, estabilidad y herramientas para operar.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Media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Plan de capacitacion, evaluacion de desempeno, comunicacion interna.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General y accionistas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Interno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Rentabilidad y crecimiento sostenible, cumplimiento del SGC, buena reputacion y control de riesgos.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Alta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Revision por la direccion, indicadores del SGC (PLA-MED-001).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Volcar a esta matriz el listado de partes interesadas ya identificado por el equipo, confirmando que cubre las categorias anteriores y agregando cualquier parte especifica del contexto de SolarPro que no este contemplada.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Datos de los proveedores reales de paneles e inversores (razon social o marca, pais de origen, condiciones de garantia y de entrega) para precisar sus requisitos y expectativas.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Instituciones financieras con las que SolarPro tiene convenio de credito para clientes, y las condiciones vigentes de dichos convenios.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Dependencias de gobierno y autoridades especificas aplicables por cada sede o ubicacion cubierta por el SGC, asi como los tramites vigentes de interconexion ante CFE que correspondan a cada tipo de proyecto.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Seguimiento, revision y criterio de aceptacion</w:t>
      </w:r>
    </w:p>
    <w:p>
      <w:pPr>
        <w:pStyle w:val="ListBullet"/>
      </w:pPr>
      <w:r>
        <w:rPr>
          <w:rFonts w:ascii="Calibri" w:hAnsi="Calibri"/>
          <w:sz w:val="20"/>
        </w:rPr>
        <w:t>La matriz se revisa al menos una vez al ano y cada vez que ocurra un cambio relevante, como una nueva sede, un nuevo servicio, un cambio regulatorio o la incorporacion de un nuevo proveedor o financiera.</w:t>
      </w:r>
    </w:p>
    <w:p>
      <w:pPr>
        <w:pStyle w:val="ListBullet"/>
      </w:pPr>
      <w:r>
        <w:rPr>
          <w:rFonts w:ascii="Calibri" w:hAnsi="Calibri"/>
          <w:sz w:val="20"/>
        </w:rPr>
        <w:t>Los resultados de la matriz alimentan el analisis de contexto, la matriz de riesgos MAT-RIE-001 y la revision por la direccion.</w:t>
      </w:r>
    </w:p>
    <w:p>
      <w:pPr>
        <w:pStyle w:val="ListBullet"/>
      </w:pPr>
      <w:r>
        <w:rPr>
          <w:rFonts w:ascii="Calibri" w:hAnsi="Calibri"/>
          <w:sz w:val="20"/>
        </w:rPr>
        <w:t>Cuando se detecten cambios en los requisitos de una parte interesada, se actualiza la matriz y se comunica a las areas involucradas.</w:t>
      </w: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Criterio de aceptacion: matriz documentada y revisada, con expectativas definidas para cada parte interesada y con el nivel de influencia asignado, aprobada por la Direccion General.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8. Registros</w:t>
      </w:r>
    </w:p>
    <w:p>
      <w:pPr>
        <w:pStyle w:val="ListBullet"/>
      </w:pPr>
      <w:r>
        <w:rPr>
          <w:rFonts w:ascii="Calibri" w:hAnsi="Calibri"/>
          <w:sz w:val="20"/>
        </w:rPr>
        <w:t>Matriz de partes interesadas (este documento, MAT-PI-001).</w:t>
      </w:r>
    </w:p>
    <w:p>
      <w:pPr>
        <w:pStyle w:val="ListBullet"/>
      </w:pPr>
      <w:r>
        <w:rPr>
          <w:rFonts w:ascii="Calibri" w:hAnsi="Calibri"/>
          <w:sz w:val="20"/>
        </w:rPr>
        <w:t>Evidencia de revision y aprobacion de la matriz.</w:t>
      </w:r>
    </w:p>
    <w:p>
      <w:pPr>
        <w:pStyle w:val="ListBullet"/>
      </w:pPr>
      <w:r>
        <w:rPr>
          <w:rFonts w:ascii="Calibri" w:hAnsi="Calibri"/>
          <w:sz w:val="20"/>
        </w:rPr>
        <w:t>Registro de actualizaciones y control de versiones bajo resguardo de la Gerencia Administrativa.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9. Referencias</w:t>
      </w:r>
    </w:p>
    <w:p>
      <w:pPr>
        <w:pStyle w:val="ListBullet"/>
      </w:pPr>
      <w:r>
        <w:rPr>
          <w:rFonts w:ascii="Calibri" w:hAnsi="Calibri"/>
          <w:sz w:val="20"/>
        </w:rPr>
        <w:t>ISO 9001:2015, clausula 4.2 Comprension de las necesidades y expectativas de las partes interesadas.</w:t>
      </w:r>
    </w:p>
    <w:p>
      <w:pPr>
        <w:pStyle w:val="ListBullet"/>
      </w:pPr>
      <w:r>
        <w:rPr>
          <w:rFonts w:ascii="Calibri" w:hAnsi="Calibri"/>
          <w:sz w:val="20"/>
        </w:rPr>
        <w:t>Manual de Calidad MC-SP-01.</w:t>
      </w:r>
    </w:p>
    <w:p>
      <w:pPr>
        <w:pStyle w:val="ListBullet"/>
      </w:pPr>
      <w:r>
        <w:rPr>
          <w:rFonts w:ascii="Calibri" w:hAnsi="Calibri"/>
          <w:sz w:val="20"/>
        </w:rPr>
        <w:t>Politica de Calidad POL-CAL-001.</w:t>
      </w:r>
    </w:p>
    <w:p>
      <w:pPr>
        <w:pStyle w:val="ListBullet"/>
      </w:pPr>
      <w:r>
        <w:rPr>
          <w:rFonts w:ascii="Calibri" w:hAnsi="Calibri"/>
          <w:sz w:val="20"/>
        </w:rPr>
        <w:t>Procedimiento de proveedores PRO-PRV-001.</w:t>
      </w:r>
    </w:p>
    <w:p>
      <w:pPr>
        <w:pStyle w:val="ListBullet"/>
      </w:pPr>
      <w:r>
        <w:rPr>
          <w:rFonts w:ascii="Calibri" w:hAnsi="Calibri"/>
          <w:sz w:val="20"/>
        </w:rPr>
        <w:t>Procedimiento de ingenieria PRO-ING-05.</w:t>
      </w:r>
    </w:p>
    <w:p>
      <w:pPr>
        <w:pStyle w:val="ListBullet"/>
      </w:pPr>
      <w:r>
        <w:rPr>
          <w:rFonts w:ascii="Calibri" w:hAnsi="Calibri"/>
          <w:sz w:val="20"/>
        </w:rPr>
        <w:t>Procedimientos de operaciones e instalacion PRO-OPE-03 y PRO-OPE-04.</w:t>
      </w:r>
    </w:p>
    <w:p>
      <w:pPr>
        <w:pStyle w:val="ListBullet"/>
      </w:pPr>
      <w:r>
        <w:rPr>
          <w:rFonts w:ascii="Calibri" w:hAnsi="Calibri"/>
          <w:sz w:val="20"/>
        </w:rPr>
        <w:t>Procedimientos de postventa y mantenimiento PRO-PVM-01 y PRO-PVM-03.</w:t>
      </w:r>
    </w:p>
    <w:p>
      <w:pPr>
        <w:pStyle w:val="ListBullet"/>
      </w:pPr>
      <w:r>
        <w:rPr>
          <w:rFonts w:ascii="Calibri" w:hAnsi="Calibri"/>
          <w:sz w:val="20"/>
        </w:rPr>
        <w:t>Matriz de riesgos MAT-RIE-001.</w:t>
      </w:r>
    </w:p>
    <w:p>
      <w:pPr>
        <w:pStyle w:val="ListBullet"/>
      </w:pPr>
      <w:r>
        <w:rPr>
          <w:rFonts w:ascii="Calibri" w:hAnsi="Calibri"/>
          <w:sz w:val="20"/>
        </w:rPr>
        <w:t>Plan de medicion PLA-MED-001.</w:t>
      </w:r>
    </w:p>
    <w:p>
      <w:pPr>
        <w:pStyle w:val="ListBullet"/>
      </w:pPr>
      <w:r>
        <w:rPr>
          <w:rFonts w:ascii="Calibri" w:hAnsi="Calibri"/>
          <w:sz w:val="20"/>
        </w:rPr>
        <w:t>Disposiciones legales y reglamentarias aplicables a la actividad, en su forma vigente.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10. Control de cambios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Version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Descripcion del cambio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Aprueba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0.1 (borrador)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Emision inicial del documento en estado de borrador para validacion.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y Gerencia Comercial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General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Fecha de emision de la version inicial y registro de las versiones subsecuentes conforme avance la validacion del documento.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11. Firmas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documento se emite en estado de borrador para validacion. Las firmas de elaboracion, revision y aprobacion se recaban una vez que SolarPro valida el contenido y se emite la version controlada.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Funcion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Rol responsable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Nombre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19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Elabora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y Gerencia Comercial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Revisa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Administrativa (custodio del SGC)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Aprueba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Direccion General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  <w:tc>
          <w:tcPr>
            <w:tcW w:type="dxa" w:w="1994"/>
          </w:tcPr>
          <w:p>
            <w:r/>
            <w:r>
              <w:rPr>
                <w:rFonts w:ascii="Calibri" w:hAnsi="Calibri"/>
                <w:b w:val="0"/>
                <w:sz w:val="19"/>
              </w:rPr>
              <w:t>Por validar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[Por validar con SolarPro] Nombre, puesto y firma de las personas que elaboran, revisan y aprueban el documento, asi como las fechas correspondientes.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Administrativa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Matriz de partes interesadas · MAT-PI-001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