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Objetivos de Calidad 2026 y Plan de Acción</w:t>
      </w:r>
    </w:p>
    <w:p>
      <w:pPr>
        <w:jc w:val="center"/>
      </w:pPr>
      <w:r>
        <w:rPr>
          <w:color w:val="F0E528"/>
          <w:sz w:val="24"/>
        </w:rPr>
        <w:t>________</w:t>
      </w:r>
    </w:p>
    <w:p>
      <w:pPr>
        <w:jc w:val="center"/>
      </w:pPr>
      <w:r>
        <w:rPr>
          <w:rFonts w:ascii="Georgia" w:hAnsi="Georgia"/>
          <w:i/>
          <w:color w:val="595959"/>
          <w:sz w:val="26"/>
        </w:rPr>
        <w:t>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OBJ-CAL-001  ·  Versión 1  ·  17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OBJ-CAL-001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17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Septiembre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 operación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17 de septiembre de 2026</w:t>
            </w:r>
          </w:p>
        </w:tc>
        <w:tc>
          <w:tcPr>
            <w:tcW w:type="dxa" w:w="5584"/>
          </w:tcPr>
          <w:p>
            <w:r/>
            <w:r>
              <w:rPr>
                <w:rFonts w:ascii="Calibri" w:hAnsi="Calibri"/>
                <w:b w:val="0"/>
                <w:sz w:val="19"/>
              </w:rPr>
              <w:t>Emisión inicial derivada de la cláusula 6.2 del SGC (ISO 9001:2015).</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pPr>
        <w:spacing w:after="40"/>
      </w:pPr>
      <w:r>
        <w:rPr>
          <w:rFonts w:ascii="Calibri" w:hAnsi="Calibri"/>
          <w:color w:val="1C242E"/>
          <w:sz w:val="20"/>
        </w:rPr>
        <w:t>numtitulo</w:t>
      </w:r>
    </w:p>
    <w:p>
      <w:r>
        <w:br w:type="page"/>
      </w:r>
    </w:p>
    <w:p>
      <w:pPr>
        <w:keepNext/>
        <w:spacing w:before="280" w:after="80"/>
        <w:pBdr>
          <w:bottom w:val="single" w:sz="8" w:color="F0E528"/>
        </w:pBdr>
      </w:pPr>
      <w:r>
        <w:rPr>
          <w:rFonts w:ascii="Georgia" w:hAnsi="Georgia"/>
          <w:b/>
          <w:color w:val="0056B4"/>
          <w:sz w:val="26"/>
        </w:rPr>
        <w:t>DOCUMENTO CONTROLADO DEL SGC</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Estado: Borrador para validación. Documento controlado del Sistema de Gestión de Calidad de Soluciones Energéticas JEA, S.A. de C.V. (marcas SolarPro y Capital Climas). Norma de referencia: ISO 9001:2015, requisito 6.2 (Objetivos de la calidad y planificación para lograrlos), en sus numerales 6.2.1 y 6.2.2. Código: OBJ-CAL-001. Responsable del documento: Gerencia Administrativa (custodio del SGC).</w:t>
            </w:r>
          </w:p>
        </w:tc>
      </w:tr>
    </w:tbl>
    <w:p>
      <w:pPr>
        <w:spacing w:after="40"/>
      </w:pPr>
    </w:p>
    <w:p>
      <w:pPr>
        <w:keepNext/>
        <w:spacing w:before="280" w:after="80"/>
        <w:pBdr>
          <w:bottom w:val="single" w:sz="8" w:color="F0E528"/>
        </w:pBdr>
      </w:pPr>
      <w:r>
        <w:rPr>
          <w:rFonts w:ascii="Georgia" w:hAnsi="Georgia"/>
          <w:b/>
          <w:color w:val="0056B4"/>
          <w:sz w:val="26"/>
        </w:rPr>
        <w:t>1. Objetivo</w:t>
      </w:r>
    </w:p>
    <w:p>
      <w:pPr>
        <w:spacing w:after="120"/>
      </w:pPr>
      <w:r>
        <w:rPr>
          <w:rFonts w:ascii="Calibri" w:hAnsi="Calibri"/>
          <w:color w:val="1C242E"/>
          <w:sz w:val="21"/>
        </w:rPr>
        <w:t>Establecer los objetivos de calidad de Soluciones Energéticas JEA, S.A. de C.V. para el ejercicio 2026, junto con el plan de acción para alcanzarlos, de manera que sean medibles, coherentes con la Política de Calidad (POL-CAL-001) y verificables a lo largo del año. Este documento da cumplimiento al requisito 6.2 de la norma ISO 9001:2015 en sus dos numerales: el 6.2.1 (características de los objetivos de calidad, incluyendo cómo se comunican y cómo se actualizan, que se detallan en la sección 7) y el 6.2.2 (planificación para lograrlos: qué se hará, con qué recursos, quién es responsable, cuándo se completará y cómo se evaluarán los resultados).</w:t>
      </w:r>
    </w:p>
    <w:p>
      <w:pPr>
        <w:keepNext/>
        <w:spacing w:before="280" w:after="80"/>
        <w:pBdr>
          <w:bottom w:val="single" w:sz="8" w:color="F0E528"/>
        </w:pBdr>
      </w:pPr>
      <w:r>
        <w:rPr>
          <w:rFonts w:ascii="Georgia" w:hAnsi="Georgia"/>
          <w:b/>
          <w:color w:val="0056B4"/>
          <w:sz w:val="26"/>
        </w:rPr>
        <w:t>2. Alcance</w:t>
      </w:r>
    </w:p>
    <w:p>
      <w:pPr>
        <w:spacing w:after="120"/>
      </w:pPr>
      <w:r>
        <w:rPr>
          <w:rFonts w:ascii="Calibri" w:hAnsi="Calibri"/>
          <w:color w:val="1C242E"/>
          <w:sz w:val="21"/>
        </w:rPr>
        <w:t>Aplica a todos los procesos y áreas incluidos en el alcance del Sistema de Gestión de Calidad, correspondiente al diseño, la comercialización y la instalación de sistemas fotovoltaicos (paneles solares) residenciales y comerciales, en las sedes de Chihuahua y Ciudad Juárez.</w:t>
      </w:r>
    </w:p>
    <w:p>
      <w:pPr>
        <w:spacing w:after="120"/>
      </w:pPr>
      <w:r>
        <w:rPr>
          <w:rFonts w:ascii="Calibri" w:hAnsi="Calibri"/>
          <w:color w:val="1C242E"/>
          <w:sz w:val="21"/>
        </w:rPr>
        <w:t>Involucra a la Gerencia Comercial, la Coordinación de Ingeniería, la Coordinación de Instalaciones y Operaciones, Postventa y Almacén, bajo la coordinación de la Gerencia Administrativa como custodio del SGC, con aprobación de la Dirección General.</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Verificar que el alcance aquí declarado (diseño, comercialización e instalación de sistemas fotovoltaicos residenciales y comerciales en las sedes de Chihuahua y Ciudad Juárez) sea textualmente idéntico al alcance del SGC declarado en el Manual de Calidad MC-SP-01 (cláusula 4.3). SolarPro mantiene además líneas activas de cuentas estratégicas e industrial (PRO-VEN-06) y de licitaciones públicas (PRO-VEN-07); confirmar si estas líneas de negocio y sus sedes quedan dentro o fuera del alcance del SGC, y que cualquier exclusión sea deliberada y esté documentada en el Manual. No se asume el alcance sin esta validación.</w:t>
            </w:r>
          </w:p>
        </w:tc>
      </w:tr>
    </w:tbl>
    <w:p>
      <w:pPr>
        <w:spacing w:after="40"/>
      </w:pPr>
    </w:p>
    <w:p>
      <w:pPr>
        <w:keepNext/>
        <w:spacing w:before="280" w:after="80"/>
        <w:pBdr>
          <w:bottom w:val="single" w:sz="8" w:color="F0E528"/>
        </w:pBdr>
      </w:pPr>
      <w:r>
        <w:rPr>
          <w:rFonts w:ascii="Georgia" w:hAnsi="Georgia"/>
          <w:b/>
          <w:color w:val="0056B4"/>
          <w:sz w:val="26"/>
        </w:rPr>
        <w:t>3. Referencias y documentos relacionados</w:t>
      </w:r>
    </w:p>
    <w:p>
      <w:pPr>
        <w:pStyle w:val="ListBullet"/>
      </w:pPr>
      <w:r>
        <w:rPr>
          <w:rFonts w:ascii="Calibri" w:hAnsi="Calibri"/>
          <w:sz w:val="20"/>
        </w:rPr>
        <w:t>ISO 9001:2015, requisito 6.2 (Objetivos de la calidad y planificación para lograrlos).</w:t>
      </w:r>
    </w:p>
    <w:p>
      <w:pPr>
        <w:pStyle w:val="ListBullet"/>
      </w:pPr>
      <w:r>
        <w:rPr>
          <w:rFonts w:ascii="Calibri" w:hAnsi="Calibri"/>
          <w:sz w:val="20"/>
        </w:rPr>
        <w:t>Manual de Calidad MC-SP-01.</w:t>
      </w:r>
    </w:p>
    <w:p>
      <w:pPr>
        <w:pStyle w:val="ListBullet"/>
      </w:pPr>
      <w:r>
        <w:rPr>
          <w:rFonts w:ascii="Calibri" w:hAnsi="Calibri"/>
          <w:sz w:val="20"/>
        </w:rPr>
        <w:t>Política de Calidad POL-CAL-001.</w:t>
      </w:r>
    </w:p>
    <w:p>
      <w:pPr>
        <w:pStyle w:val="ListBullet"/>
      </w:pPr>
      <w:r>
        <w:rPr>
          <w:rFonts w:ascii="Calibri" w:hAnsi="Calibri"/>
          <w:sz w:val="20"/>
        </w:rPr>
        <w:t>Plan de Medición PLA-MED-001 (definición y cálculo de indicadores).</w:t>
      </w:r>
    </w:p>
    <w:p>
      <w:pPr>
        <w:pStyle w:val="ListBullet"/>
      </w:pPr>
      <w:r>
        <w:rPr>
          <w:rFonts w:ascii="Calibri" w:hAnsi="Calibri"/>
          <w:sz w:val="20"/>
        </w:rPr>
        <w:t>Matriz de Riesgos MAT-RIE-001.</w:t>
      </w:r>
    </w:p>
    <w:p>
      <w:pPr>
        <w:pStyle w:val="ListBullet"/>
      </w:pPr>
      <w:r>
        <w:rPr>
          <w:rFonts w:ascii="Calibri" w:hAnsi="Calibri"/>
          <w:sz w:val="20"/>
        </w:rPr>
        <w:t>Procedimiento de Acciones Correctivas PRO-AC-001 y Bitácora de No Conformidades REG-NCA-001.</w:t>
      </w:r>
    </w:p>
    <w:p>
      <w:pPr>
        <w:pStyle w:val="ListBullet"/>
      </w:pPr>
      <w:r>
        <w:rPr>
          <w:rFonts w:ascii="Calibri" w:hAnsi="Calibri"/>
          <w:sz w:val="20"/>
        </w:rPr>
        <w:t>Programa de Auditoría PRG-AUD-001.</w:t>
      </w:r>
    </w:p>
    <w:p>
      <w:pPr>
        <w:pStyle w:val="ListBullet"/>
      </w:pPr>
      <w:r>
        <w:rPr>
          <w:rFonts w:ascii="Calibri" w:hAnsi="Calibri"/>
          <w:sz w:val="20"/>
        </w:rPr>
        <w:t>Mecanismo de difusión de la Política y los Objetivos de Calidad DIF-POL-001.</w:t>
      </w:r>
    </w:p>
    <w:p>
      <w:pPr>
        <w:pStyle w:val="ListBullet"/>
      </w:pPr>
      <w:r>
        <w:rPr>
          <w:rFonts w:ascii="Calibri" w:hAnsi="Calibri"/>
          <w:sz w:val="20"/>
        </w:rPr>
        <w:t>Acta de Revisión por la Dirección ACT-RD-001.</w:t>
      </w:r>
    </w:p>
    <w:p>
      <w:pPr>
        <w:pStyle w:val="ListBullet"/>
      </w:pPr>
      <w:r>
        <w:rPr>
          <w:rFonts w:ascii="Calibri" w:hAnsi="Calibri"/>
          <w:sz w:val="20"/>
        </w:rPr>
        <w:t>Procedimientos por área: Comercial (PRO-VEN), Ingeniería (PRO-ING), Operaciones (PRO-OPE), Postventa (PRO-PVM) y Almacén (PRO-ALM).</w:t>
      </w:r>
    </w:p>
    <w:p>
      <w:pPr>
        <w:keepNext/>
        <w:spacing w:before="280" w:after="80"/>
        <w:pBdr>
          <w:bottom w:val="single" w:sz="8" w:color="F0E528"/>
        </w:pBdr>
      </w:pPr>
      <w:r>
        <w:rPr>
          <w:rFonts w:ascii="Georgia" w:hAnsi="Georgia"/>
          <w:b/>
          <w:color w:val="0056B4"/>
          <w:sz w:val="26"/>
        </w:rPr>
        <w:t>4. Vinculación con la Política de Calidad</w:t>
      </w:r>
    </w:p>
    <w:p>
      <w:pPr>
        <w:spacing w:after="120"/>
      </w:pPr>
      <w:r>
        <w:rPr>
          <w:rFonts w:ascii="Calibri" w:hAnsi="Calibri"/>
          <w:color w:val="1C242E"/>
          <w:sz w:val="21"/>
        </w:rPr>
        <w:t>Los objetivos de calidad 2026 se derivan de los compromisos establecidos en la Política de Calidad (POL-CAL-001) y contribuyen a hacerlos medibles y verificables. Cada objetivo se enlaza con la satisfacción del cliente, el cumplimiento de los plazos comprometidos y la mejora continua del servicio.</w:t>
      </w:r>
    </w:p>
    <w:p>
      <w:pPr>
        <w:spacing w:after="120"/>
      </w:pPr>
      <w:r>
        <w:rPr>
          <w:rFonts w:ascii="Calibri" w:hAnsi="Calibri"/>
          <w:color w:val="1C242E"/>
          <w:sz w:val="21"/>
        </w:rPr>
        <w:t>En particular, el objetivo relativo al cumplimiento de los compromisos comerciales ofertados al cliente se incorpora como objetivo de calidad, y no solo como meta de negocio, porque incide de forma directa en la conformidad del servicio y en la satisfacción del cliente: honrar lo ofertado en la propuesta comercial (alcance, condiciones y plazos) forma parte del cumplimiento de los requisitos acordados con el cliente. Su indicador de cumplimiento de la meta comercial es un dato que la empresa ya mide y aquí se vincula de manera explícita a la calidad del servicio prestado.</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el texto exacto de los compromisos declarados en la Política de Calidad POL-CAL-001, para asegurar la trazabilidad puntual entre cada compromiso de la política y su objetivo de calidad asociado.</w:t>
            </w:r>
          </w:p>
        </w:tc>
      </w:tr>
    </w:tbl>
    <w:p>
      <w:pPr>
        <w:spacing w:after="40"/>
      </w:pPr>
    </w:p>
    <w:p>
      <w:pPr>
        <w:keepNext/>
        <w:spacing w:before="280" w:after="80"/>
        <w:pBdr>
          <w:bottom w:val="single" w:sz="8" w:color="F0E528"/>
        </w:pBdr>
      </w:pPr>
      <w:r>
        <w:rPr>
          <w:rFonts w:ascii="Georgia" w:hAnsi="Georgia"/>
          <w:b/>
          <w:color w:val="0056B4"/>
          <w:sz w:val="26"/>
        </w:rPr>
        <w:t>5. Objetivos de Calidad 2026</w:t>
      </w:r>
    </w:p>
    <w:p>
      <w:pPr>
        <w:spacing w:after="120"/>
      </w:pPr>
      <w:r>
        <w:rPr>
          <w:rFonts w:ascii="Calibri" w:hAnsi="Calibri"/>
          <w:color w:val="1C242E"/>
          <w:sz w:val="21"/>
        </w:rPr>
        <w:t>Se establecen los siguientes objetivos de calidad para el ejercicio 2026. Cada uno es medible mediante un indicador cuya definición y método de cálculo se registran en el Plan de Medición (PLA-MED-001). Las metas y las líneas base son datos que fija y aprueba la Dirección con base en el desempeño histórico real de la empresa; en este borrador se marcan como pendientes y no se registran cifras hasta contar con esa información.</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La empresa ya cuenta con objetivos y con una forma de medirlos en las áreas de ventas e instalaciones. Es necesario recuperar esos objetivos e indicadores actuales y formalizarlos en esta tabla. El mecanismo de consecuencia ante el incumplimiento queda establecido de forma estructural en la sección 7 (seguimiento, acción correctiva PRO-AC-001 y escalamiento a la revisión por la Dirección ACT-RD-001); resta que la Dirección confirme si desea asociar alguna consecuencia adicional específica. No se incluyen aquí valores inventados.</w:t>
            </w:r>
          </w:p>
        </w:tc>
      </w:tr>
    </w:tbl>
    <w:p>
      <w:pPr>
        <w:spacing w:after="40"/>
      </w:pP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425"/>
        <w:gridCol w:w="1425"/>
        <w:gridCol w:w="1425"/>
        <w:gridCol w:w="1425"/>
        <w:gridCol w:w="1425"/>
        <w:gridCol w:w="1425"/>
        <w:gridCol w:w="1425"/>
      </w:tblGrid>
      <w:tr>
        <w:tc>
          <w:tcPr>
            <w:tcW w:type="dxa" w:w="1425"/>
            <w:shd w:val="clear" w:fill="0056B4"/>
          </w:tcPr>
          <w:p>
            <w:pPr>
              <w:jc w:val="center"/>
            </w:pPr>
            <w:r/>
            <w:r>
              <w:rPr>
                <w:rFonts w:ascii="Calibri" w:hAnsi="Calibri"/>
                <w:b/>
                <w:color w:val="FFFFFF"/>
                <w:sz w:val="17"/>
              </w:rPr>
              <w:t>No.</w:t>
            </w:r>
          </w:p>
        </w:tc>
        <w:tc>
          <w:tcPr>
            <w:tcW w:type="dxa" w:w="1425"/>
            <w:shd w:val="clear" w:fill="0056B4"/>
          </w:tcPr>
          <w:p>
            <w:pPr>
              <w:jc w:val="center"/>
            </w:pPr>
            <w:r/>
            <w:r>
              <w:rPr>
                <w:rFonts w:ascii="Calibri" w:hAnsi="Calibri"/>
                <w:b/>
                <w:color w:val="FFFFFF"/>
                <w:sz w:val="17"/>
              </w:rPr>
              <w:t>Objetivo</w:t>
            </w:r>
          </w:p>
        </w:tc>
        <w:tc>
          <w:tcPr>
            <w:tcW w:type="dxa" w:w="1425"/>
            <w:shd w:val="clear" w:fill="0056B4"/>
          </w:tcPr>
          <w:p>
            <w:pPr>
              <w:jc w:val="center"/>
            </w:pPr>
            <w:r/>
            <w:r>
              <w:rPr>
                <w:rFonts w:ascii="Calibri" w:hAnsi="Calibri"/>
                <w:b/>
                <w:color w:val="FFFFFF"/>
                <w:sz w:val="17"/>
              </w:rPr>
              <w:t>Indicador</w:t>
            </w:r>
          </w:p>
        </w:tc>
        <w:tc>
          <w:tcPr>
            <w:tcW w:type="dxa" w:w="1425"/>
            <w:shd w:val="clear" w:fill="0056B4"/>
          </w:tcPr>
          <w:p>
            <w:pPr>
              <w:jc w:val="center"/>
            </w:pPr>
            <w:r/>
            <w:r>
              <w:rPr>
                <w:rFonts w:ascii="Calibri" w:hAnsi="Calibri"/>
                <w:b/>
                <w:color w:val="FFFFFF"/>
                <w:sz w:val="17"/>
              </w:rPr>
              <w:t>Fórmula de cálculo</w:t>
            </w:r>
          </w:p>
        </w:tc>
        <w:tc>
          <w:tcPr>
            <w:tcW w:type="dxa" w:w="1425"/>
            <w:shd w:val="clear" w:fill="0056B4"/>
          </w:tcPr>
          <w:p>
            <w:pPr>
              <w:jc w:val="center"/>
            </w:pPr>
            <w:r/>
            <w:r>
              <w:rPr>
                <w:rFonts w:ascii="Calibri" w:hAnsi="Calibri"/>
                <w:b/>
                <w:color w:val="FFFFFF"/>
                <w:sz w:val="17"/>
              </w:rPr>
              <w:t>Meta 2026</w:t>
            </w:r>
          </w:p>
        </w:tc>
        <w:tc>
          <w:tcPr>
            <w:tcW w:type="dxa" w:w="1425"/>
            <w:shd w:val="clear" w:fill="0056B4"/>
          </w:tcPr>
          <w:p>
            <w:pPr>
              <w:jc w:val="center"/>
            </w:pPr>
            <w:r/>
            <w:r>
              <w:rPr>
                <w:rFonts w:ascii="Calibri" w:hAnsi="Calibri"/>
                <w:b/>
                <w:color w:val="FFFFFF"/>
                <w:sz w:val="17"/>
              </w:rPr>
              <w:t>Responsable</w:t>
            </w:r>
          </w:p>
        </w:tc>
        <w:tc>
          <w:tcPr>
            <w:tcW w:type="dxa" w:w="1425"/>
            <w:shd w:val="clear" w:fill="0056B4"/>
          </w:tcPr>
          <w:p>
            <w:pPr>
              <w:jc w:val="center"/>
            </w:pPr>
            <w:r/>
            <w:r>
              <w:rPr>
                <w:rFonts w:ascii="Calibri" w:hAnsi="Calibri"/>
                <w:b/>
                <w:color w:val="FFFFFF"/>
                <w:sz w:val="17"/>
              </w:rPr>
              <w:t>Plazo</w:t>
            </w:r>
          </w:p>
        </w:tc>
      </w:tr>
      <w:tr>
        <w:tc>
          <w:tcPr>
            <w:tcW w:type="dxa" w:w="1425"/>
          </w:tcPr>
          <w:p>
            <w:r/>
            <w:r>
              <w:rPr>
                <w:rFonts w:ascii="Calibri" w:hAnsi="Calibri"/>
                <w:b w:val="0"/>
                <w:sz w:val="19"/>
              </w:rPr>
              <w:t>1</w:t>
            </w:r>
          </w:p>
        </w:tc>
        <w:tc>
          <w:tcPr>
            <w:tcW w:type="dxa" w:w="1425"/>
          </w:tcPr>
          <w:p>
            <w:r/>
            <w:r>
              <w:rPr>
                <w:rFonts w:ascii="Calibri" w:hAnsi="Calibri"/>
                <w:b w:val="0"/>
                <w:sz w:val="19"/>
              </w:rPr>
              <w:t>Cumplir los plazos comprometidos de instalación</w:t>
            </w:r>
          </w:p>
        </w:tc>
        <w:tc>
          <w:tcPr>
            <w:tcW w:type="dxa" w:w="1425"/>
          </w:tcPr>
          <w:p>
            <w:r/>
            <w:r>
              <w:rPr>
                <w:rFonts w:ascii="Calibri" w:hAnsi="Calibri"/>
                <w:b w:val="0"/>
                <w:sz w:val="19"/>
              </w:rPr>
              <w:t>Porcentaje de instalaciones entregadas en la fecha comprometida</w:t>
            </w:r>
          </w:p>
        </w:tc>
        <w:tc>
          <w:tcPr>
            <w:tcW w:type="dxa" w:w="1425"/>
          </w:tcPr>
          <w:p>
            <w:r/>
            <w:r>
              <w:rPr>
                <w:rFonts w:ascii="Calibri" w:hAnsi="Calibri"/>
                <w:b w:val="0"/>
                <w:sz w:val="19"/>
              </w:rPr>
              <w:t>(Instalaciones entregadas a tiempo / total de instalaciones concluidas) x 100</w:t>
            </w:r>
          </w:p>
        </w:tc>
        <w:tc>
          <w:tcPr>
            <w:tcW w:type="dxa" w:w="1425"/>
          </w:tcPr>
          <w:p>
            <w:r/>
            <w:r>
              <w:rPr>
                <w:rFonts w:ascii="Calibri" w:hAnsi="Calibri"/>
                <w:b w:val="0"/>
                <w:sz w:val="19"/>
              </w:rPr>
              <w:t>[Por validar]</w:t>
            </w:r>
          </w:p>
        </w:tc>
        <w:tc>
          <w:tcPr>
            <w:tcW w:type="dxa" w:w="1425"/>
          </w:tcPr>
          <w:p>
            <w:r/>
            <w:r>
              <w:rPr>
                <w:rFonts w:ascii="Calibri" w:hAnsi="Calibri"/>
                <w:b w:val="0"/>
                <w:sz w:val="19"/>
              </w:rPr>
              <w:t>Coordinación de Instalaciones y Operaciones</w:t>
            </w:r>
          </w:p>
        </w:tc>
        <w:tc>
          <w:tcPr>
            <w:tcW w:type="dxa" w:w="1425"/>
          </w:tcPr>
          <w:p>
            <w:r/>
            <w:r>
              <w:rPr>
                <w:rFonts w:ascii="Calibri" w:hAnsi="Calibri"/>
                <w:b w:val="0"/>
                <w:sz w:val="19"/>
              </w:rPr>
              <w:t>Cierre 2026 (31-dic-2026)</w:t>
            </w:r>
          </w:p>
        </w:tc>
      </w:tr>
      <w:tr>
        <w:tc>
          <w:tcPr>
            <w:tcW w:type="dxa" w:w="1425"/>
          </w:tcPr>
          <w:p>
            <w:r/>
            <w:r>
              <w:rPr>
                <w:rFonts w:ascii="Calibri" w:hAnsi="Calibri"/>
                <w:b w:val="0"/>
                <w:sz w:val="19"/>
              </w:rPr>
              <w:t>2</w:t>
            </w:r>
          </w:p>
        </w:tc>
        <w:tc>
          <w:tcPr>
            <w:tcW w:type="dxa" w:w="1425"/>
          </w:tcPr>
          <w:p>
            <w:r/>
            <w:r>
              <w:rPr>
                <w:rFonts w:ascii="Calibri" w:hAnsi="Calibri"/>
                <w:b w:val="0"/>
                <w:sz w:val="19"/>
              </w:rPr>
              <w:t>Incrementar la satisfacción del cliente</w:t>
            </w:r>
          </w:p>
        </w:tc>
        <w:tc>
          <w:tcPr>
            <w:tcW w:type="dxa" w:w="1425"/>
          </w:tcPr>
          <w:p>
            <w:r/>
            <w:r>
              <w:rPr>
                <w:rFonts w:ascii="Calibri" w:hAnsi="Calibri"/>
                <w:b w:val="0"/>
                <w:sz w:val="19"/>
              </w:rPr>
              <w:t>Índice de satisfacción del cliente (encuesta de postventa)</w:t>
            </w:r>
          </w:p>
        </w:tc>
        <w:tc>
          <w:tcPr>
            <w:tcW w:type="dxa" w:w="1425"/>
          </w:tcPr>
          <w:p>
            <w:r/>
            <w:r>
              <w:rPr>
                <w:rFonts w:ascii="Calibri" w:hAnsi="Calibri"/>
                <w:b w:val="0"/>
                <w:sz w:val="19"/>
              </w:rPr>
              <w:t>(Calificación promedio obtenida / calificación máxima de la escala) x 100</w:t>
            </w:r>
          </w:p>
        </w:tc>
        <w:tc>
          <w:tcPr>
            <w:tcW w:type="dxa" w:w="1425"/>
          </w:tcPr>
          <w:p>
            <w:r/>
            <w:r>
              <w:rPr>
                <w:rFonts w:ascii="Calibri" w:hAnsi="Calibri"/>
                <w:b w:val="0"/>
                <w:sz w:val="19"/>
              </w:rPr>
              <w:t>[Por validar]</w:t>
            </w:r>
          </w:p>
        </w:tc>
        <w:tc>
          <w:tcPr>
            <w:tcW w:type="dxa" w:w="1425"/>
          </w:tcPr>
          <w:p>
            <w:r/>
            <w:r>
              <w:rPr>
                <w:rFonts w:ascii="Calibri" w:hAnsi="Calibri"/>
                <w:b w:val="0"/>
                <w:sz w:val="19"/>
              </w:rPr>
              <w:t>Postventa con Gerencia Comercial</w:t>
            </w:r>
          </w:p>
        </w:tc>
        <w:tc>
          <w:tcPr>
            <w:tcW w:type="dxa" w:w="1425"/>
          </w:tcPr>
          <w:p>
            <w:r/>
            <w:r>
              <w:rPr>
                <w:rFonts w:ascii="Calibri" w:hAnsi="Calibri"/>
                <w:b w:val="0"/>
                <w:sz w:val="19"/>
              </w:rPr>
              <w:t>Cierre 2026 (31-dic-2026)</w:t>
            </w:r>
          </w:p>
        </w:tc>
      </w:tr>
      <w:tr>
        <w:tc>
          <w:tcPr>
            <w:tcW w:type="dxa" w:w="1425"/>
          </w:tcPr>
          <w:p>
            <w:r/>
            <w:r>
              <w:rPr>
                <w:rFonts w:ascii="Calibri" w:hAnsi="Calibri"/>
                <w:b w:val="0"/>
                <w:sz w:val="19"/>
              </w:rPr>
              <w:t>3</w:t>
            </w:r>
          </w:p>
        </w:tc>
        <w:tc>
          <w:tcPr>
            <w:tcW w:type="dxa" w:w="1425"/>
          </w:tcPr>
          <w:p>
            <w:r/>
            <w:r>
              <w:rPr>
                <w:rFonts w:ascii="Calibri" w:hAnsi="Calibri"/>
                <w:b w:val="0"/>
                <w:sz w:val="19"/>
              </w:rPr>
              <w:t>Reducir las reincidencias en postventa</w:t>
            </w:r>
          </w:p>
        </w:tc>
        <w:tc>
          <w:tcPr>
            <w:tcW w:type="dxa" w:w="1425"/>
          </w:tcPr>
          <w:p>
            <w:r/>
            <w:r>
              <w:rPr>
                <w:rFonts w:ascii="Calibri" w:hAnsi="Calibri"/>
                <w:b w:val="0"/>
                <w:sz w:val="19"/>
              </w:rPr>
              <w:t>Porcentaje de servicios que requieren reintervención (retrabajo)</w:t>
            </w:r>
          </w:p>
        </w:tc>
        <w:tc>
          <w:tcPr>
            <w:tcW w:type="dxa" w:w="1425"/>
          </w:tcPr>
          <w:p>
            <w:r/>
            <w:r>
              <w:rPr>
                <w:rFonts w:ascii="Calibri" w:hAnsi="Calibri"/>
                <w:b w:val="0"/>
                <w:sz w:val="19"/>
              </w:rPr>
              <w:t>(Servicios con reintervención / total de servicios de postventa atendidos) x 100</w:t>
            </w:r>
          </w:p>
        </w:tc>
        <w:tc>
          <w:tcPr>
            <w:tcW w:type="dxa" w:w="1425"/>
          </w:tcPr>
          <w:p>
            <w:r/>
            <w:r>
              <w:rPr>
                <w:rFonts w:ascii="Calibri" w:hAnsi="Calibri"/>
                <w:b w:val="0"/>
                <w:sz w:val="19"/>
              </w:rPr>
              <w:t>[Por validar]</w:t>
            </w:r>
          </w:p>
        </w:tc>
        <w:tc>
          <w:tcPr>
            <w:tcW w:type="dxa" w:w="1425"/>
          </w:tcPr>
          <w:p>
            <w:r/>
            <w:r>
              <w:rPr>
                <w:rFonts w:ascii="Calibri" w:hAnsi="Calibri"/>
                <w:b w:val="0"/>
                <w:sz w:val="19"/>
              </w:rPr>
              <w:t>Postventa</w:t>
            </w:r>
          </w:p>
        </w:tc>
        <w:tc>
          <w:tcPr>
            <w:tcW w:type="dxa" w:w="1425"/>
          </w:tcPr>
          <w:p>
            <w:r/>
            <w:r>
              <w:rPr>
                <w:rFonts w:ascii="Calibri" w:hAnsi="Calibri"/>
                <w:b w:val="0"/>
                <w:sz w:val="19"/>
              </w:rPr>
              <w:t>Cierre 2026 (31-dic-2026)</w:t>
            </w:r>
          </w:p>
        </w:tc>
      </w:tr>
      <w:tr>
        <w:tc>
          <w:tcPr>
            <w:tcW w:type="dxa" w:w="1425"/>
          </w:tcPr>
          <w:p>
            <w:r/>
            <w:r>
              <w:rPr>
                <w:rFonts w:ascii="Calibri" w:hAnsi="Calibri"/>
                <w:b w:val="0"/>
                <w:sz w:val="19"/>
              </w:rPr>
              <w:t>4</w:t>
            </w:r>
          </w:p>
        </w:tc>
        <w:tc>
          <w:tcPr>
            <w:tcW w:type="dxa" w:w="1425"/>
          </w:tcPr>
          <w:p>
            <w:r/>
            <w:r>
              <w:rPr>
                <w:rFonts w:ascii="Calibri" w:hAnsi="Calibri"/>
                <w:b w:val="0"/>
                <w:sz w:val="19"/>
              </w:rPr>
              <w:t>Cumplir los compromisos comerciales ofertados al cliente</w:t>
            </w:r>
          </w:p>
        </w:tc>
        <w:tc>
          <w:tcPr>
            <w:tcW w:type="dxa" w:w="1425"/>
          </w:tcPr>
          <w:p>
            <w:r/>
            <w:r>
              <w:rPr>
                <w:rFonts w:ascii="Calibri" w:hAnsi="Calibri"/>
                <w:b w:val="0"/>
                <w:sz w:val="19"/>
              </w:rPr>
              <w:t>Porcentaje de cumplimiento de la meta comercial comprometida</w:t>
            </w:r>
          </w:p>
        </w:tc>
        <w:tc>
          <w:tcPr>
            <w:tcW w:type="dxa" w:w="1425"/>
          </w:tcPr>
          <w:p>
            <w:r/>
            <w:r>
              <w:rPr>
                <w:rFonts w:ascii="Calibri" w:hAnsi="Calibri"/>
                <w:b w:val="0"/>
                <w:sz w:val="19"/>
              </w:rPr>
              <w:t>(Ventas reales / meta de ventas) x 100</w:t>
            </w:r>
          </w:p>
        </w:tc>
        <w:tc>
          <w:tcPr>
            <w:tcW w:type="dxa" w:w="1425"/>
          </w:tcPr>
          <w:p>
            <w:r/>
            <w:r>
              <w:rPr>
                <w:rFonts w:ascii="Calibri" w:hAnsi="Calibri"/>
                <w:b w:val="0"/>
                <w:sz w:val="19"/>
              </w:rPr>
              <w:t>[Por validar]</w:t>
            </w:r>
          </w:p>
        </w:tc>
        <w:tc>
          <w:tcPr>
            <w:tcW w:type="dxa" w:w="1425"/>
          </w:tcPr>
          <w:p>
            <w:r/>
            <w:r>
              <w:rPr>
                <w:rFonts w:ascii="Calibri" w:hAnsi="Calibri"/>
                <w:b w:val="0"/>
                <w:sz w:val="19"/>
              </w:rPr>
              <w:t>Gerencia Comercial</w:t>
            </w:r>
          </w:p>
        </w:tc>
        <w:tc>
          <w:tcPr>
            <w:tcW w:type="dxa" w:w="1425"/>
          </w:tcPr>
          <w:p>
            <w:r/>
            <w:r>
              <w:rPr>
                <w:rFonts w:ascii="Calibri" w:hAnsi="Calibri"/>
                <w:b w:val="0"/>
                <w:sz w:val="19"/>
              </w:rPr>
              <w:t>Cierre 2026 (31-dic-2026)</w:t>
            </w:r>
          </w:p>
        </w:tc>
      </w:tr>
      <w:tr>
        <w:tc>
          <w:tcPr>
            <w:tcW w:type="dxa" w:w="1425"/>
          </w:tcPr>
          <w:p>
            <w:r/>
            <w:r>
              <w:rPr>
                <w:rFonts w:ascii="Calibri" w:hAnsi="Calibri"/>
                <w:b w:val="0"/>
                <w:sz w:val="19"/>
              </w:rPr>
              <w:t>5</w:t>
            </w:r>
          </w:p>
        </w:tc>
        <w:tc>
          <w:tcPr>
            <w:tcW w:type="dxa" w:w="1425"/>
          </w:tcPr>
          <w:p>
            <w:r/>
            <w:r>
              <w:rPr>
                <w:rFonts w:ascii="Calibri" w:hAnsi="Calibri"/>
                <w:b w:val="0"/>
                <w:sz w:val="19"/>
              </w:rPr>
              <w:t>Asegurar la conformidad del diseño de ingeniería</w:t>
            </w:r>
          </w:p>
        </w:tc>
        <w:tc>
          <w:tcPr>
            <w:tcW w:type="dxa" w:w="1425"/>
          </w:tcPr>
          <w:p>
            <w:r/>
            <w:r>
              <w:rPr>
                <w:rFonts w:ascii="Calibri" w:hAnsi="Calibri"/>
                <w:b w:val="0"/>
                <w:sz w:val="19"/>
              </w:rPr>
              <w:t>Porcentaje de proyectos liberados sin error de diseño</w:t>
            </w:r>
          </w:p>
        </w:tc>
        <w:tc>
          <w:tcPr>
            <w:tcW w:type="dxa" w:w="1425"/>
          </w:tcPr>
          <w:p>
            <w:r/>
            <w:r>
              <w:rPr>
                <w:rFonts w:ascii="Calibri" w:hAnsi="Calibri"/>
                <w:b w:val="0"/>
                <w:sz w:val="19"/>
              </w:rPr>
              <w:t>(Proyectos liberados sin corrección de diseño / total de proyectos liberados) x 100</w:t>
            </w:r>
          </w:p>
        </w:tc>
        <w:tc>
          <w:tcPr>
            <w:tcW w:type="dxa" w:w="1425"/>
          </w:tcPr>
          <w:p>
            <w:r/>
            <w:r>
              <w:rPr>
                <w:rFonts w:ascii="Calibri" w:hAnsi="Calibri"/>
                <w:b w:val="0"/>
                <w:sz w:val="19"/>
              </w:rPr>
              <w:t>[Por validar]</w:t>
            </w:r>
          </w:p>
        </w:tc>
        <w:tc>
          <w:tcPr>
            <w:tcW w:type="dxa" w:w="1425"/>
          </w:tcPr>
          <w:p>
            <w:r/>
            <w:r>
              <w:rPr>
                <w:rFonts w:ascii="Calibri" w:hAnsi="Calibri"/>
                <w:b w:val="0"/>
                <w:sz w:val="19"/>
              </w:rPr>
              <w:t>Coordinación de Ingeniería</w:t>
            </w:r>
          </w:p>
        </w:tc>
        <w:tc>
          <w:tcPr>
            <w:tcW w:type="dxa" w:w="1425"/>
          </w:tcPr>
          <w:p>
            <w:r/>
            <w:r>
              <w:rPr>
                <w:rFonts w:ascii="Calibri" w:hAnsi="Calibri"/>
                <w:b w:val="0"/>
                <w:sz w:val="19"/>
              </w:rPr>
              <w:t>Cierre 2026 (31-dic-2026)</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Definir para cada indicador la línea base (desempeño actual medido) y la meta numérica 2026 correspondiente. Las metas se fijan por la Dirección tomando como referencia el histórico real; permanecen en blanco hasta contar con ese dato. La meta comercial del objetivo 4 es un dato comercial real que aporta la Dirección con la Gerencia Comercial.</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la denominación exacta del rol responsable del objetivo 1. La línea de mando entre Operaciones e Instalaciones continúa pendiente de definición desde el Manual de Calidad MC-SP-01: es necesario aclarar si corresponde a un solo rol (Coordinación de Instalaciones y Operaciones) o a dos roles separados, y ajustar en consecuencia el responsable indicado en la tabla y en el plan de acción del objetivo 1.</w:t>
            </w:r>
          </w:p>
        </w:tc>
      </w:tr>
    </w:tbl>
    <w:p>
      <w:pPr>
        <w:spacing w:after="40"/>
      </w:pPr>
    </w:p>
    <w:p>
      <w:pPr>
        <w:keepNext/>
        <w:spacing w:before="280" w:after="80"/>
        <w:pBdr>
          <w:bottom w:val="single" w:sz="8" w:color="F0E528"/>
        </w:pBdr>
      </w:pPr>
      <w:r>
        <w:rPr>
          <w:rFonts w:ascii="Georgia" w:hAnsi="Georgia"/>
          <w:b/>
          <w:color w:val="0056B4"/>
          <w:sz w:val="26"/>
        </w:rPr>
        <w:t>6. Planes de acción por objetivo (requisito 6.2.2)</w:t>
      </w:r>
    </w:p>
    <w:p>
      <w:pPr>
        <w:spacing w:after="120"/>
      </w:pPr>
      <w:r>
        <w:rPr>
          <w:rFonts w:ascii="Calibri" w:hAnsi="Calibri"/>
          <w:color w:val="1C242E"/>
          <w:sz w:val="21"/>
        </w:rPr>
        <w:t>Para cada objetivo se define su plan de acción conforme al numeral 6.2.2 de la norma: qué se hará, qué recursos se requieren, quién es responsable, cuándo se completará y cómo se evaluarán los resultados. Para evitar confusión con las cláusulas de la norma (6.2 y 6.2.2), los planes se identifican como Plan del Objetivo 1 a Plan del Objetivo 5, y no con numeración de subsección tipo 6.x. La medición de cada indicador se realiza según el Plan de Medición (PLA-MED-001) y las desviaciones respecto a la meta disparan las acciones descritas en la sección 7.</w:t>
      </w:r>
    </w:p>
    <w:p>
      <w:pPr>
        <w:keepNext/>
        <w:spacing w:before="200" w:after="60"/>
      </w:pPr>
      <w:r>
        <w:rPr>
          <w:rFonts w:ascii="Georgia" w:hAnsi="Georgia"/>
          <w:b/>
          <w:color w:val="1C242E"/>
          <w:sz w:val="22"/>
        </w:rPr>
        <w:t>Plan del Objetivo 1: Cumplir los plazos comprometidos de instalación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Elemento (6.2.2)</w:t>
            </w:r>
          </w:p>
        </w:tc>
        <w:tc>
          <w:tcPr>
            <w:tcW w:type="dxa" w:w="4986"/>
            <w:shd w:val="clear" w:fill="0056B4"/>
          </w:tcPr>
          <w:p>
            <w:pPr>
              <w:jc w:val="center"/>
            </w:pPr>
            <w:r/>
            <w:r>
              <w:rPr>
                <w:rFonts w:ascii="Calibri" w:hAnsi="Calibri"/>
                <w:b/>
                <w:color w:val="FFFFFF"/>
                <w:sz w:val="17"/>
              </w:rPr>
              <w:t>Definición para este objetivo</w:t>
            </w:r>
          </w:p>
        </w:tc>
      </w:tr>
      <w:tr>
        <w:tc>
          <w:tcPr>
            <w:tcW w:type="dxa" w:w="4986"/>
          </w:tcPr>
          <w:p>
            <w:r/>
            <w:r>
              <w:rPr>
                <w:rFonts w:ascii="Calibri" w:hAnsi="Calibri"/>
                <w:b w:val="0"/>
                <w:sz w:val="19"/>
              </w:rPr>
              <w:t>Qué se hará</w:t>
            </w:r>
          </w:p>
        </w:tc>
        <w:tc>
          <w:tcPr>
            <w:tcW w:type="dxa" w:w="4986"/>
          </w:tcPr>
          <w:p>
            <w:r/>
            <w:r>
              <w:rPr>
                <w:rFonts w:ascii="Calibri" w:hAnsi="Calibri"/>
                <w:b w:val="0"/>
                <w:sz w:val="19"/>
              </w:rPr>
              <w:t>Programar cada instalación con fecha comprometida documentada, dar seguimiento al avance de obra, registrar las causas de retraso y ajustar la planeación de cuadrillas y de materiales conforme a los procedimientos de Operaciones (PRO-OPE) y de Almacén (PRO-ALM).</w:t>
            </w:r>
          </w:p>
        </w:tc>
      </w:tr>
      <w:tr>
        <w:tc>
          <w:tcPr>
            <w:tcW w:type="dxa" w:w="4986"/>
          </w:tcPr>
          <w:p>
            <w:r/>
            <w:r>
              <w:rPr>
                <w:rFonts w:ascii="Calibri" w:hAnsi="Calibri"/>
                <w:b w:val="0"/>
                <w:sz w:val="19"/>
              </w:rPr>
              <w:t>Recursos necesarios</w:t>
            </w:r>
          </w:p>
        </w:tc>
        <w:tc>
          <w:tcPr>
            <w:tcW w:type="dxa" w:w="4986"/>
          </w:tcPr>
          <w:p>
            <w:r/>
            <w:r>
              <w:rPr>
                <w:rFonts w:ascii="Calibri" w:hAnsi="Calibri"/>
                <w:b w:val="0"/>
                <w:sz w:val="19"/>
              </w:rPr>
              <w:t>Tiempo del personal de Operaciones, herramienta de programación y control de obra, disponibilidad oportuna de materiales en Almacén y dotación suficiente de personal de instalación.</w:t>
            </w:r>
          </w:p>
        </w:tc>
      </w:tr>
      <w:tr>
        <w:tc>
          <w:tcPr>
            <w:tcW w:type="dxa" w:w="4986"/>
          </w:tcPr>
          <w:p>
            <w:r/>
            <w:r>
              <w:rPr>
                <w:rFonts w:ascii="Calibri" w:hAnsi="Calibri"/>
                <w:b w:val="0"/>
                <w:sz w:val="19"/>
              </w:rPr>
              <w:t>Responsable</w:t>
            </w:r>
          </w:p>
        </w:tc>
        <w:tc>
          <w:tcPr>
            <w:tcW w:type="dxa" w:w="4986"/>
          </w:tcPr>
          <w:p>
            <w:r/>
            <w:r>
              <w:rPr>
                <w:rFonts w:ascii="Calibri" w:hAnsi="Calibri"/>
                <w:b w:val="0"/>
                <w:sz w:val="19"/>
              </w:rPr>
              <w:t>Coordinación de Instalaciones y Operaciones (denominación por validar, ver sección 5).</w:t>
            </w:r>
          </w:p>
        </w:tc>
      </w:tr>
      <w:tr>
        <w:tc>
          <w:tcPr>
            <w:tcW w:type="dxa" w:w="4986"/>
          </w:tcPr>
          <w:p>
            <w:r/>
            <w:r>
              <w:rPr>
                <w:rFonts w:ascii="Calibri" w:hAnsi="Calibri"/>
                <w:b w:val="0"/>
                <w:sz w:val="19"/>
              </w:rPr>
              <w:t>Cuándo se completará</w:t>
            </w:r>
          </w:p>
        </w:tc>
        <w:tc>
          <w:tcPr>
            <w:tcW w:type="dxa" w:w="4986"/>
          </w:tcPr>
          <w:p>
            <w:r/>
            <w:r>
              <w:rPr>
                <w:rFonts w:ascii="Calibri" w:hAnsi="Calibri"/>
                <w:b w:val="0"/>
                <w:sz w:val="19"/>
              </w:rPr>
              <w:t>Seguimiento mensual durante 2026, con meta anual al cierre del ejercicio (31-dic-2026).</w:t>
            </w:r>
          </w:p>
        </w:tc>
      </w:tr>
      <w:tr>
        <w:tc>
          <w:tcPr>
            <w:tcW w:type="dxa" w:w="4986"/>
          </w:tcPr>
          <w:p>
            <w:r/>
            <w:r>
              <w:rPr>
                <w:rFonts w:ascii="Calibri" w:hAnsi="Calibri"/>
                <w:b w:val="0"/>
                <w:sz w:val="19"/>
              </w:rPr>
              <w:t>Cómo se evalúan los resultados</w:t>
            </w:r>
          </w:p>
        </w:tc>
        <w:tc>
          <w:tcPr>
            <w:tcW w:type="dxa" w:w="4986"/>
          </w:tcPr>
          <w:p>
            <w:r/>
            <w:r>
              <w:rPr>
                <w:rFonts w:ascii="Calibri" w:hAnsi="Calibri"/>
                <w:b w:val="0"/>
                <w:sz w:val="19"/>
              </w:rPr>
              <w:t>Cálculo mensual del indicador contra la meta en el Plan de Medición (PLA-MED-001), análisis de desviaciones en las reuniones de seguimiento y apertura de acción correctiva (PRO-AC-001) cuando la tendencia queda por debajo de la meta.</w:t>
            </w:r>
          </w:p>
        </w:tc>
      </w:tr>
    </w:tbl>
    <w:p>
      <w:pPr>
        <w:keepNext/>
        <w:spacing w:before="200" w:after="60"/>
      </w:pPr>
      <w:r>
        <w:rPr>
          <w:rFonts w:ascii="Georgia" w:hAnsi="Georgia"/>
          <w:b/>
          <w:color w:val="1C242E"/>
          <w:sz w:val="22"/>
        </w:rPr>
        <w:t>Plan del Objetivo 2: Incrementar la satisfacción del cliente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Elemento (6.2.2)</w:t>
            </w:r>
          </w:p>
        </w:tc>
        <w:tc>
          <w:tcPr>
            <w:tcW w:type="dxa" w:w="4986"/>
            <w:shd w:val="clear" w:fill="0056B4"/>
          </w:tcPr>
          <w:p>
            <w:pPr>
              <w:jc w:val="center"/>
            </w:pPr>
            <w:r/>
            <w:r>
              <w:rPr>
                <w:rFonts w:ascii="Calibri" w:hAnsi="Calibri"/>
                <w:b/>
                <w:color w:val="FFFFFF"/>
                <w:sz w:val="17"/>
              </w:rPr>
              <w:t>Definición para este objetivo</w:t>
            </w:r>
          </w:p>
        </w:tc>
      </w:tr>
      <w:tr>
        <w:tc>
          <w:tcPr>
            <w:tcW w:type="dxa" w:w="4986"/>
          </w:tcPr>
          <w:p>
            <w:r/>
            <w:r>
              <w:rPr>
                <w:rFonts w:ascii="Calibri" w:hAnsi="Calibri"/>
                <w:b w:val="0"/>
                <w:sz w:val="19"/>
              </w:rPr>
              <w:t>Qué se hará</w:t>
            </w:r>
          </w:p>
        </w:tc>
        <w:tc>
          <w:tcPr>
            <w:tcW w:type="dxa" w:w="4986"/>
          </w:tcPr>
          <w:p>
            <w:r/>
            <w:r>
              <w:rPr>
                <w:rFonts w:ascii="Calibri" w:hAnsi="Calibri"/>
                <w:b w:val="0"/>
                <w:sz w:val="19"/>
              </w:rPr>
              <w:t>Aplicar la encuesta de satisfacción al cierre de cada proyecto o servicio, consolidar y analizar los resultados, atender quejas y observaciones y retroalimentar a las áreas involucradas conforme al procedimiento de Postventa (PRO-PVM).</w:t>
            </w:r>
          </w:p>
        </w:tc>
      </w:tr>
      <w:tr>
        <w:tc>
          <w:tcPr>
            <w:tcW w:type="dxa" w:w="4986"/>
          </w:tcPr>
          <w:p>
            <w:r/>
            <w:r>
              <w:rPr>
                <w:rFonts w:ascii="Calibri" w:hAnsi="Calibri"/>
                <w:b w:val="0"/>
                <w:sz w:val="19"/>
              </w:rPr>
              <w:t>Recursos necesarios</w:t>
            </w:r>
          </w:p>
        </w:tc>
        <w:tc>
          <w:tcPr>
            <w:tcW w:type="dxa" w:w="4986"/>
          </w:tcPr>
          <w:p>
            <w:r/>
            <w:r>
              <w:rPr>
                <w:rFonts w:ascii="Calibri" w:hAnsi="Calibri"/>
                <w:b w:val="0"/>
                <w:sz w:val="19"/>
              </w:rPr>
              <w:t>Instrumento de encuesta, canal de captura y registro de resultados, y tiempo del personal de Postventa y de Gerencia Comercial.</w:t>
            </w:r>
          </w:p>
        </w:tc>
      </w:tr>
      <w:tr>
        <w:tc>
          <w:tcPr>
            <w:tcW w:type="dxa" w:w="4986"/>
          </w:tcPr>
          <w:p>
            <w:r/>
            <w:r>
              <w:rPr>
                <w:rFonts w:ascii="Calibri" w:hAnsi="Calibri"/>
                <w:b w:val="0"/>
                <w:sz w:val="19"/>
              </w:rPr>
              <w:t>Responsable</w:t>
            </w:r>
          </w:p>
        </w:tc>
        <w:tc>
          <w:tcPr>
            <w:tcW w:type="dxa" w:w="4986"/>
          </w:tcPr>
          <w:p>
            <w:r/>
            <w:r>
              <w:rPr>
                <w:rFonts w:ascii="Calibri" w:hAnsi="Calibri"/>
                <w:b w:val="0"/>
                <w:sz w:val="19"/>
              </w:rPr>
              <w:t>Postventa en coordinación con Gerencia Comercial.</w:t>
            </w:r>
          </w:p>
        </w:tc>
      </w:tr>
      <w:tr>
        <w:tc>
          <w:tcPr>
            <w:tcW w:type="dxa" w:w="4986"/>
          </w:tcPr>
          <w:p>
            <w:r/>
            <w:r>
              <w:rPr>
                <w:rFonts w:ascii="Calibri" w:hAnsi="Calibri"/>
                <w:b w:val="0"/>
                <w:sz w:val="19"/>
              </w:rPr>
              <w:t>Cuándo se completará</w:t>
            </w:r>
          </w:p>
        </w:tc>
        <w:tc>
          <w:tcPr>
            <w:tcW w:type="dxa" w:w="4986"/>
          </w:tcPr>
          <w:p>
            <w:r/>
            <w:r>
              <w:rPr>
                <w:rFonts w:ascii="Calibri" w:hAnsi="Calibri"/>
                <w:b w:val="0"/>
                <w:sz w:val="19"/>
              </w:rPr>
              <w:t>Aplicación continua por proyecto cerrado y consolidación mensual durante 2026, con meta anual al cierre (31-dic-2026).</w:t>
            </w:r>
          </w:p>
        </w:tc>
      </w:tr>
      <w:tr>
        <w:tc>
          <w:tcPr>
            <w:tcW w:type="dxa" w:w="4986"/>
          </w:tcPr>
          <w:p>
            <w:r/>
            <w:r>
              <w:rPr>
                <w:rFonts w:ascii="Calibri" w:hAnsi="Calibri"/>
                <w:b w:val="0"/>
                <w:sz w:val="19"/>
              </w:rPr>
              <w:t>Cómo se evalúan los resultados</w:t>
            </w:r>
          </w:p>
        </w:tc>
        <w:tc>
          <w:tcPr>
            <w:tcW w:type="dxa" w:w="4986"/>
          </w:tcPr>
          <w:p>
            <w:r/>
            <w:r>
              <w:rPr>
                <w:rFonts w:ascii="Calibri" w:hAnsi="Calibri"/>
                <w:b w:val="0"/>
                <w:sz w:val="19"/>
              </w:rPr>
              <w:t>Índice de satisfacción calculado mensualmente contra la meta, revisión de tendencias y de quejas recurrentes, y acciones correctivas (PRO-AC-001) ante resultados por debajo de la meta.</w:t>
            </w:r>
          </w:p>
        </w:tc>
      </w:tr>
    </w:tbl>
    <w:p>
      <w:pPr>
        <w:keepNext/>
        <w:spacing w:before="200" w:after="60"/>
      </w:pPr>
      <w:r>
        <w:rPr>
          <w:rFonts w:ascii="Georgia" w:hAnsi="Georgia"/>
          <w:b/>
          <w:color w:val="1C242E"/>
          <w:sz w:val="22"/>
        </w:rPr>
        <w:t>Plan del Objetivo 3: Reducir las reincidencias en postventa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Elemento (6.2.2)</w:t>
            </w:r>
          </w:p>
        </w:tc>
        <w:tc>
          <w:tcPr>
            <w:tcW w:type="dxa" w:w="4986"/>
            <w:shd w:val="clear" w:fill="0056B4"/>
          </w:tcPr>
          <w:p>
            <w:pPr>
              <w:jc w:val="center"/>
            </w:pPr>
            <w:r/>
            <w:r>
              <w:rPr>
                <w:rFonts w:ascii="Calibri" w:hAnsi="Calibri"/>
                <w:b/>
                <w:color w:val="FFFFFF"/>
                <w:sz w:val="17"/>
              </w:rPr>
              <w:t>Definición para este objetivo</w:t>
            </w:r>
          </w:p>
        </w:tc>
      </w:tr>
      <w:tr>
        <w:tc>
          <w:tcPr>
            <w:tcW w:type="dxa" w:w="4986"/>
          </w:tcPr>
          <w:p>
            <w:r/>
            <w:r>
              <w:rPr>
                <w:rFonts w:ascii="Calibri" w:hAnsi="Calibri"/>
                <w:b w:val="0"/>
                <w:sz w:val="19"/>
              </w:rPr>
              <w:t>Qué se hará</w:t>
            </w:r>
          </w:p>
        </w:tc>
        <w:tc>
          <w:tcPr>
            <w:tcW w:type="dxa" w:w="4986"/>
          </w:tcPr>
          <w:p>
            <w:r/>
            <w:r>
              <w:rPr>
                <w:rFonts w:ascii="Calibri" w:hAnsi="Calibri"/>
                <w:b w:val="0"/>
                <w:sz w:val="19"/>
              </w:rPr>
              <w:t>Registrar cada reintervención en la Bitácora de No Conformidades (REG-NCA-001), clasificar la causa raíz, ejecutar acciones correctivas conforme a PRO-AC-001 y PRO-PVM, y retroalimentar a Ingeniería e Instalaciones para prevenir la recurrencia.</w:t>
            </w:r>
          </w:p>
        </w:tc>
      </w:tr>
      <w:tr>
        <w:tc>
          <w:tcPr>
            <w:tcW w:type="dxa" w:w="4986"/>
          </w:tcPr>
          <w:p>
            <w:r/>
            <w:r>
              <w:rPr>
                <w:rFonts w:ascii="Calibri" w:hAnsi="Calibri"/>
                <w:b w:val="0"/>
                <w:sz w:val="19"/>
              </w:rPr>
              <w:t>Recursos necesarios</w:t>
            </w:r>
          </w:p>
        </w:tc>
        <w:tc>
          <w:tcPr>
            <w:tcW w:type="dxa" w:w="4986"/>
          </w:tcPr>
          <w:p>
            <w:r/>
            <w:r>
              <w:rPr>
                <w:rFonts w:ascii="Calibri" w:hAnsi="Calibri"/>
                <w:b w:val="0"/>
                <w:sz w:val="19"/>
              </w:rPr>
              <w:t>Bitácora de no conformidades, tiempo del personal de Postventa y apoyo técnico de Ingeniería y de Operaciones.</w:t>
            </w:r>
          </w:p>
        </w:tc>
      </w:tr>
      <w:tr>
        <w:tc>
          <w:tcPr>
            <w:tcW w:type="dxa" w:w="4986"/>
          </w:tcPr>
          <w:p>
            <w:r/>
            <w:r>
              <w:rPr>
                <w:rFonts w:ascii="Calibri" w:hAnsi="Calibri"/>
                <w:b w:val="0"/>
                <w:sz w:val="19"/>
              </w:rPr>
              <w:t>Responsable</w:t>
            </w:r>
          </w:p>
        </w:tc>
        <w:tc>
          <w:tcPr>
            <w:tcW w:type="dxa" w:w="4986"/>
          </w:tcPr>
          <w:p>
            <w:r/>
            <w:r>
              <w:rPr>
                <w:rFonts w:ascii="Calibri" w:hAnsi="Calibri"/>
                <w:b w:val="0"/>
                <w:sz w:val="19"/>
              </w:rPr>
              <w:t>Postventa.</w:t>
            </w:r>
          </w:p>
        </w:tc>
      </w:tr>
      <w:tr>
        <w:tc>
          <w:tcPr>
            <w:tcW w:type="dxa" w:w="4986"/>
          </w:tcPr>
          <w:p>
            <w:r/>
            <w:r>
              <w:rPr>
                <w:rFonts w:ascii="Calibri" w:hAnsi="Calibri"/>
                <w:b w:val="0"/>
                <w:sz w:val="19"/>
              </w:rPr>
              <w:t>Cuándo se completará</w:t>
            </w:r>
          </w:p>
        </w:tc>
        <w:tc>
          <w:tcPr>
            <w:tcW w:type="dxa" w:w="4986"/>
          </w:tcPr>
          <w:p>
            <w:r/>
            <w:r>
              <w:rPr>
                <w:rFonts w:ascii="Calibri" w:hAnsi="Calibri"/>
                <w:b w:val="0"/>
                <w:sz w:val="19"/>
              </w:rPr>
              <w:t>Registro continuo y análisis mensual durante 2026, con meta anual al cierre (31-dic-2026).</w:t>
            </w:r>
          </w:p>
        </w:tc>
      </w:tr>
      <w:tr>
        <w:tc>
          <w:tcPr>
            <w:tcW w:type="dxa" w:w="4986"/>
          </w:tcPr>
          <w:p>
            <w:r/>
            <w:r>
              <w:rPr>
                <w:rFonts w:ascii="Calibri" w:hAnsi="Calibri"/>
                <w:b w:val="0"/>
                <w:sz w:val="19"/>
              </w:rPr>
              <w:t>Cómo se evalúan los resultados</w:t>
            </w:r>
          </w:p>
        </w:tc>
        <w:tc>
          <w:tcPr>
            <w:tcW w:type="dxa" w:w="4986"/>
          </w:tcPr>
          <w:p>
            <w:r/>
            <w:r>
              <w:rPr>
                <w:rFonts w:ascii="Calibri" w:hAnsi="Calibri"/>
                <w:b w:val="0"/>
                <w:sz w:val="19"/>
              </w:rPr>
              <w:t>Porcentaje de reintervención calculado mensualmente contra la meta, análisis de causas recurrentes y verificación de la eficacia de las acciones correctivas antes de su cierre.</w:t>
            </w:r>
          </w:p>
        </w:tc>
      </w:tr>
    </w:tbl>
    <w:p>
      <w:pPr>
        <w:keepNext/>
        <w:spacing w:before="200" w:after="60"/>
      </w:pPr>
      <w:r>
        <w:rPr>
          <w:rFonts w:ascii="Georgia" w:hAnsi="Georgia"/>
          <w:b/>
          <w:color w:val="1C242E"/>
          <w:sz w:val="22"/>
        </w:rPr>
        <w:t>Plan del Objetivo 4: Cumplir los compromisos comerciales ofertados al cliente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Elemento (6.2.2)</w:t>
            </w:r>
          </w:p>
        </w:tc>
        <w:tc>
          <w:tcPr>
            <w:tcW w:type="dxa" w:w="4986"/>
            <w:shd w:val="clear" w:fill="0056B4"/>
          </w:tcPr>
          <w:p>
            <w:pPr>
              <w:jc w:val="center"/>
            </w:pPr>
            <w:r/>
            <w:r>
              <w:rPr>
                <w:rFonts w:ascii="Calibri" w:hAnsi="Calibri"/>
                <w:b/>
                <w:color w:val="FFFFFF"/>
                <w:sz w:val="17"/>
              </w:rPr>
              <w:t>Definición para este objetivo</w:t>
            </w:r>
          </w:p>
        </w:tc>
      </w:tr>
      <w:tr>
        <w:tc>
          <w:tcPr>
            <w:tcW w:type="dxa" w:w="4986"/>
          </w:tcPr>
          <w:p>
            <w:r/>
            <w:r>
              <w:rPr>
                <w:rFonts w:ascii="Calibri" w:hAnsi="Calibri"/>
                <w:b w:val="0"/>
                <w:sz w:val="19"/>
              </w:rPr>
              <w:t>Qué se hará</w:t>
            </w:r>
          </w:p>
        </w:tc>
        <w:tc>
          <w:tcPr>
            <w:tcW w:type="dxa" w:w="4986"/>
          </w:tcPr>
          <w:p>
            <w:r/>
            <w:r>
              <w:rPr>
                <w:rFonts w:ascii="Calibri" w:hAnsi="Calibri"/>
                <w:b w:val="0"/>
                <w:sz w:val="19"/>
              </w:rPr>
              <w:t>Dar seguimiento al embudo comercial y al cumplimiento de la meta conforme al procedimiento Comercial (PRO-VEN), verificar que las cotizaciones y los cierres respeten el alcance, las condiciones y los plazos ofertados al cliente, revisar las causas de pérdida y ajustar las acciones comerciales.</w:t>
            </w:r>
          </w:p>
        </w:tc>
      </w:tr>
      <w:tr>
        <w:tc>
          <w:tcPr>
            <w:tcW w:type="dxa" w:w="4986"/>
          </w:tcPr>
          <w:p>
            <w:r/>
            <w:r>
              <w:rPr>
                <w:rFonts w:ascii="Calibri" w:hAnsi="Calibri"/>
                <w:b w:val="0"/>
                <w:sz w:val="19"/>
              </w:rPr>
              <w:t>Recursos necesarios</w:t>
            </w:r>
          </w:p>
        </w:tc>
        <w:tc>
          <w:tcPr>
            <w:tcW w:type="dxa" w:w="4986"/>
          </w:tcPr>
          <w:p>
            <w:r/>
            <w:r>
              <w:rPr>
                <w:rFonts w:ascii="Calibri" w:hAnsi="Calibri"/>
                <w:b w:val="0"/>
                <w:sz w:val="19"/>
              </w:rPr>
              <w:t>Registro de oportunidades y ventas, tiempo del equipo comercial y material de apoyo comercial.</w:t>
            </w:r>
          </w:p>
        </w:tc>
      </w:tr>
      <w:tr>
        <w:tc>
          <w:tcPr>
            <w:tcW w:type="dxa" w:w="4986"/>
          </w:tcPr>
          <w:p>
            <w:r/>
            <w:r>
              <w:rPr>
                <w:rFonts w:ascii="Calibri" w:hAnsi="Calibri"/>
                <w:b w:val="0"/>
                <w:sz w:val="19"/>
              </w:rPr>
              <w:t>Responsable</w:t>
            </w:r>
          </w:p>
        </w:tc>
        <w:tc>
          <w:tcPr>
            <w:tcW w:type="dxa" w:w="4986"/>
          </w:tcPr>
          <w:p>
            <w:r/>
            <w:r>
              <w:rPr>
                <w:rFonts w:ascii="Calibri" w:hAnsi="Calibri"/>
                <w:b w:val="0"/>
                <w:sz w:val="19"/>
              </w:rPr>
              <w:t>Gerencia Comercial.</w:t>
            </w:r>
          </w:p>
        </w:tc>
      </w:tr>
      <w:tr>
        <w:tc>
          <w:tcPr>
            <w:tcW w:type="dxa" w:w="4986"/>
          </w:tcPr>
          <w:p>
            <w:r/>
            <w:r>
              <w:rPr>
                <w:rFonts w:ascii="Calibri" w:hAnsi="Calibri"/>
                <w:b w:val="0"/>
                <w:sz w:val="19"/>
              </w:rPr>
              <w:t>Cuándo se completará</w:t>
            </w:r>
          </w:p>
        </w:tc>
        <w:tc>
          <w:tcPr>
            <w:tcW w:type="dxa" w:w="4986"/>
          </w:tcPr>
          <w:p>
            <w:r/>
            <w:r>
              <w:rPr>
                <w:rFonts w:ascii="Calibri" w:hAnsi="Calibri"/>
                <w:b w:val="0"/>
                <w:sz w:val="19"/>
              </w:rPr>
              <w:t>Seguimiento mensual durante 2026, con meta anual al cierre (31-dic-2026).</w:t>
            </w:r>
          </w:p>
        </w:tc>
      </w:tr>
      <w:tr>
        <w:tc>
          <w:tcPr>
            <w:tcW w:type="dxa" w:w="4986"/>
          </w:tcPr>
          <w:p>
            <w:r/>
            <w:r>
              <w:rPr>
                <w:rFonts w:ascii="Calibri" w:hAnsi="Calibri"/>
                <w:b w:val="0"/>
                <w:sz w:val="19"/>
              </w:rPr>
              <w:t>Cómo se evalúan los resultados</w:t>
            </w:r>
          </w:p>
        </w:tc>
        <w:tc>
          <w:tcPr>
            <w:tcW w:type="dxa" w:w="4986"/>
          </w:tcPr>
          <w:p>
            <w:r/>
            <w:r>
              <w:rPr>
                <w:rFonts w:ascii="Calibri" w:hAnsi="Calibri"/>
                <w:b w:val="0"/>
                <w:sz w:val="19"/>
              </w:rPr>
              <w:t>Porcentaje de cumplimiento calculado mensualmente contra la meta, análisis de desviaciones y plan de recuperación cuando aplique, con acción correctiva (PRO-AC-001) ante desviaciones sostenidas.</w:t>
            </w:r>
          </w:p>
        </w:tc>
      </w:tr>
    </w:tbl>
    <w:p>
      <w:pPr>
        <w:keepNext/>
        <w:spacing w:before="200" w:after="60"/>
      </w:pPr>
      <w:r>
        <w:rPr>
          <w:rFonts w:ascii="Georgia" w:hAnsi="Georgia"/>
          <w:b/>
          <w:color w:val="1C242E"/>
          <w:sz w:val="22"/>
        </w:rPr>
        <w:t>Plan del Objetivo 5: Asegurar la conformidad del diseño de ingeniería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986"/>
            <w:shd w:val="clear" w:fill="0056B4"/>
          </w:tcPr>
          <w:p>
            <w:pPr>
              <w:jc w:val="center"/>
            </w:pPr>
            <w:r/>
            <w:r>
              <w:rPr>
                <w:rFonts w:ascii="Calibri" w:hAnsi="Calibri"/>
                <w:b/>
                <w:color w:val="FFFFFF"/>
                <w:sz w:val="17"/>
              </w:rPr>
              <w:t>Elemento (6.2.2)</w:t>
            </w:r>
          </w:p>
        </w:tc>
        <w:tc>
          <w:tcPr>
            <w:tcW w:type="dxa" w:w="4986"/>
            <w:shd w:val="clear" w:fill="0056B4"/>
          </w:tcPr>
          <w:p>
            <w:pPr>
              <w:jc w:val="center"/>
            </w:pPr>
            <w:r/>
            <w:r>
              <w:rPr>
                <w:rFonts w:ascii="Calibri" w:hAnsi="Calibri"/>
                <w:b/>
                <w:color w:val="FFFFFF"/>
                <w:sz w:val="17"/>
              </w:rPr>
              <w:t>Definición para este objetivo</w:t>
            </w:r>
          </w:p>
        </w:tc>
      </w:tr>
      <w:tr>
        <w:tc>
          <w:tcPr>
            <w:tcW w:type="dxa" w:w="4986"/>
          </w:tcPr>
          <w:p>
            <w:r/>
            <w:r>
              <w:rPr>
                <w:rFonts w:ascii="Calibri" w:hAnsi="Calibri"/>
                <w:b w:val="0"/>
                <w:sz w:val="19"/>
              </w:rPr>
              <w:t>Qué se hará</w:t>
            </w:r>
          </w:p>
        </w:tc>
        <w:tc>
          <w:tcPr>
            <w:tcW w:type="dxa" w:w="4986"/>
          </w:tcPr>
          <w:p>
            <w:r/>
            <w:r>
              <w:rPr>
                <w:rFonts w:ascii="Calibri" w:hAnsi="Calibri"/>
                <w:b w:val="0"/>
                <w:sz w:val="19"/>
              </w:rPr>
              <w:t>Verificar el diseño conforme al procedimiento de Ingeniería (PRO-ING) antes de liberar cada proyecto, registrar las correcciones y errores de diseño detectados, y retroalimentar el proceso para reducir reprocesos.</w:t>
            </w:r>
          </w:p>
        </w:tc>
      </w:tr>
      <w:tr>
        <w:tc>
          <w:tcPr>
            <w:tcW w:type="dxa" w:w="4986"/>
          </w:tcPr>
          <w:p>
            <w:r/>
            <w:r>
              <w:rPr>
                <w:rFonts w:ascii="Calibri" w:hAnsi="Calibri"/>
                <w:b w:val="0"/>
                <w:sz w:val="19"/>
              </w:rPr>
              <w:t>Recursos necesarios</w:t>
            </w:r>
          </w:p>
        </w:tc>
        <w:tc>
          <w:tcPr>
            <w:tcW w:type="dxa" w:w="4986"/>
          </w:tcPr>
          <w:p>
            <w:r/>
            <w:r>
              <w:rPr>
                <w:rFonts w:ascii="Calibri" w:hAnsi="Calibri"/>
                <w:b w:val="0"/>
                <w:sz w:val="19"/>
              </w:rPr>
              <w:t>Tiempo de la Coordinación de Ingeniería, criterios y formatos de verificación de diseño e información técnica del proyecto.</w:t>
            </w:r>
          </w:p>
        </w:tc>
      </w:tr>
      <w:tr>
        <w:tc>
          <w:tcPr>
            <w:tcW w:type="dxa" w:w="4986"/>
          </w:tcPr>
          <w:p>
            <w:r/>
            <w:r>
              <w:rPr>
                <w:rFonts w:ascii="Calibri" w:hAnsi="Calibri"/>
                <w:b w:val="0"/>
                <w:sz w:val="19"/>
              </w:rPr>
              <w:t>Responsable</w:t>
            </w:r>
          </w:p>
        </w:tc>
        <w:tc>
          <w:tcPr>
            <w:tcW w:type="dxa" w:w="4986"/>
          </w:tcPr>
          <w:p>
            <w:r/>
            <w:r>
              <w:rPr>
                <w:rFonts w:ascii="Calibri" w:hAnsi="Calibri"/>
                <w:b w:val="0"/>
                <w:sz w:val="19"/>
              </w:rPr>
              <w:t>Coordinación de Ingeniería.</w:t>
            </w:r>
          </w:p>
        </w:tc>
      </w:tr>
      <w:tr>
        <w:tc>
          <w:tcPr>
            <w:tcW w:type="dxa" w:w="4986"/>
          </w:tcPr>
          <w:p>
            <w:r/>
            <w:r>
              <w:rPr>
                <w:rFonts w:ascii="Calibri" w:hAnsi="Calibri"/>
                <w:b w:val="0"/>
                <w:sz w:val="19"/>
              </w:rPr>
              <w:t>Cuándo se completará</w:t>
            </w:r>
          </w:p>
        </w:tc>
        <w:tc>
          <w:tcPr>
            <w:tcW w:type="dxa" w:w="4986"/>
          </w:tcPr>
          <w:p>
            <w:r/>
            <w:r>
              <w:rPr>
                <w:rFonts w:ascii="Calibri" w:hAnsi="Calibri"/>
                <w:b w:val="0"/>
                <w:sz w:val="19"/>
              </w:rPr>
              <w:t>Verificación por proyecto y consolidación mensual durante 2026, con meta anual al cierre (31-dic-2026).</w:t>
            </w:r>
          </w:p>
        </w:tc>
      </w:tr>
      <w:tr>
        <w:tc>
          <w:tcPr>
            <w:tcW w:type="dxa" w:w="4986"/>
          </w:tcPr>
          <w:p>
            <w:r/>
            <w:r>
              <w:rPr>
                <w:rFonts w:ascii="Calibri" w:hAnsi="Calibri"/>
                <w:b w:val="0"/>
                <w:sz w:val="19"/>
              </w:rPr>
              <w:t>Cómo se evalúan los resultados</w:t>
            </w:r>
          </w:p>
        </w:tc>
        <w:tc>
          <w:tcPr>
            <w:tcW w:type="dxa" w:w="4986"/>
          </w:tcPr>
          <w:p>
            <w:r/>
            <w:r>
              <w:rPr>
                <w:rFonts w:ascii="Calibri" w:hAnsi="Calibri"/>
                <w:b w:val="0"/>
                <w:sz w:val="19"/>
              </w:rPr>
              <w:t>Porcentaje de proyectos liberados sin error de diseño calculado mensualmente contra la meta, análisis de errores recurrentes y acciones correctivas (PRO-AC-001) cuando se supere el umbral definido.</w:t>
            </w:r>
          </w:p>
        </w:tc>
      </w:tr>
    </w:tbl>
    <w:p>
      <w:pPr>
        <w:keepNext/>
        <w:spacing w:before="280" w:after="80"/>
        <w:pBdr>
          <w:bottom w:val="single" w:sz="8" w:color="F0E528"/>
        </w:pBdr>
      </w:pPr>
      <w:r>
        <w:rPr>
          <w:rFonts w:ascii="Georgia" w:hAnsi="Georgia"/>
          <w:b/>
          <w:color w:val="0056B4"/>
          <w:sz w:val="26"/>
        </w:rPr>
        <w:t>7. Seguimiento, medición, comunicación y consecuencia</w:t>
      </w:r>
    </w:p>
    <w:p>
      <w:pPr>
        <w:spacing w:after="120"/>
      </w:pPr>
      <w:r>
        <w:rPr>
          <w:rFonts w:ascii="Calibri" w:hAnsi="Calibri"/>
          <w:color w:val="1C242E"/>
          <w:sz w:val="21"/>
        </w:rPr>
        <w:t>Todos los indicadores se miden con la frecuencia definida y se registran en el Plan de Medición (PLA-MED-001). Los resultados se comunican a los responsables de cada área y al personal involucrado, se difunden a través del mecanismo de difusión de la Política y los Objetivos de Calidad (DIF-POL-001) y se refuerzan en las juntas de seguimiento. El avance se revisa en las reuniones de seguimiento y en la revisión por la Dirección (ACT-RD-001), y se contrasta durante las auditorías internas del Programa de Auditoría (PRG-AUD-001). Para dar consecuencia formal al incumplimiento, la desviación o la tendencia adversa respecto a la meta activa una acción correctiva conforme al procedimiento PRO-AC-001 y, en los casos recurrentes o críticos, escala a la revisión por la Dirección (ACT-RD-001). Los objetivos se mantienen vigentes y se actualizan cuando la revisión por la Dirección o un cambio en el contexto de la organización así lo determinen.</w:t>
      </w:r>
    </w:p>
    <w:p>
      <w:pPr>
        <w:pStyle w:val="ListBullet"/>
      </w:pPr>
      <w:r>
        <w:rPr>
          <w:rFonts w:ascii="Calibri" w:hAnsi="Calibri"/>
          <w:sz w:val="20"/>
        </w:rPr>
        <w:t>Medición según la frecuencia definida y registro en el Plan de Medición (PLA-MED-001).</w:t>
      </w:r>
    </w:p>
    <w:p>
      <w:pPr>
        <w:pStyle w:val="ListBullet"/>
      </w:pPr>
      <w:r>
        <w:rPr>
          <w:rFonts w:ascii="Calibri" w:hAnsi="Calibri"/>
          <w:sz w:val="20"/>
        </w:rPr>
        <w:t>Comunicación y difusión de los objetivos y de sus resultados a los responsables de cada área y al personal, a través del mecanismo DIF-POL-001 y de las juntas de seguimiento (requisito 6.2.1 f).</w:t>
      </w:r>
    </w:p>
    <w:p>
      <w:pPr>
        <w:pStyle w:val="ListBullet"/>
      </w:pPr>
      <w:r>
        <w:rPr>
          <w:rFonts w:ascii="Calibri" w:hAnsi="Calibri"/>
          <w:sz w:val="20"/>
        </w:rPr>
        <w:t>Revisión del avance en las reuniones de seguimiento y en la revisión por la Dirección (ACT-RD-001), y contraste durante las auditorías internas (PRG-AUD-001).</w:t>
      </w:r>
    </w:p>
    <w:p>
      <w:pPr>
        <w:pStyle w:val="ListBullet"/>
      </w:pPr>
      <w:r>
        <w:rPr>
          <w:rFonts w:ascii="Calibri" w:hAnsi="Calibri"/>
          <w:sz w:val="20"/>
        </w:rPr>
        <w:t>Consecuencia formal del incumplimiento: la desviación o la tendencia por debajo de la meta dispara una acción correctiva (PRO-AC-001) con responsable y plazo, y verificación de eficacia antes del cierre; los casos recurrentes o críticos escalan a la revisión por la Dirección (ACT-RD-001).</w:t>
      </w:r>
    </w:p>
    <w:p>
      <w:pPr>
        <w:pStyle w:val="ListBullet"/>
      </w:pPr>
      <w:r>
        <w:rPr>
          <w:rFonts w:ascii="Calibri" w:hAnsi="Calibri"/>
          <w:sz w:val="20"/>
        </w:rPr>
        <w:t>Actualización de los objetivos y de sus metas en la revisión por la Dirección (ACT-RD-001) o cuando cambien el contexto de la organización, sus riesgos o los requisitos del cliente (requisito 6.2.1 g).</w:t>
      </w: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Objetivos de Calidad 2026 y Plan de Acción · OBJ-CAL-001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