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drawing>
          <wp:inline xmlns:a="http://schemas.openxmlformats.org/drawingml/2006/main" xmlns:pic="http://schemas.openxmlformats.org/drawingml/2006/picture">
            <wp:extent cx="2340000" cy="768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es-solares-chihuahua-financiamiento-cotizacion-credito-energia-solar-cibanco-solarpro-sustainable-energy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768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0"/>
        <w:jc w:val="center"/>
      </w:pPr>
      <w:r>
        <w:rPr>
          <w:rFonts w:ascii="Calibri" w:hAnsi="Calibri"/>
          <w:b/>
          <w:color w:val="595959"/>
          <w:sz w:val="22"/>
        </w:rPr>
        <w:t>SISTEMA DE GESTIÓN DE CALIDAD ISO 9001:2015</w:t>
      </w:r>
    </w:p>
    <w:p>
      <w:pPr>
        <w:spacing w:before="120" w:after="40"/>
        <w:jc w:val="center"/>
      </w:pPr>
      <w:r>
        <w:rPr>
          <w:rFonts w:ascii="Georgia" w:hAnsi="Georgia"/>
          <w:b/>
          <w:color w:val="0056B4"/>
          <w:sz w:val="60"/>
        </w:rPr>
        <w:t>Plan de Comunicación del SGC</w:t>
      </w:r>
    </w:p>
    <w:p>
      <w:pPr>
        <w:jc w:val="center"/>
      </w:pPr>
      <w:r>
        <w:rPr>
          <w:color w:val="F0E528"/>
          <w:sz w:val="24"/>
        </w:rPr>
        <w:t>________</w:t>
      </w:r>
    </w:p>
    <w:p>
      <w:pPr>
        <w:jc w:val="center"/>
      </w:pPr>
      <w:r>
        <w:rPr>
          <w:rFonts w:ascii="Georgia" w:hAnsi="Georgia"/>
          <w:i/>
          <w:color w:val="595959"/>
          <w:sz w:val="26"/>
        </w:rPr>
        <w:t>SolarPro · Sistema de Gestión de Calidad ISO 9001:2015</w:t>
      </w:r>
    </w:p>
    <w:p>
      <w:pPr>
        <w:spacing w:before="600"/>
        <w:jc w:val="center"/>
      </w:pPr>
      <w:r>
        <w:rPr>
          <w:b/>
          <w:color w:val="1C242E"/>
          <w:sz w:val="22"/>
        </w:rPr>
        <w:t>Soluciones Energéticas JEA S.A. de C.V. (SolarPro)</w:t>
      </w:r>
    </w:p>
    <w:p>
      <w:pPr>
        <w:jc w:val="center"/>
      </w:pPr>
      <w:r>
        <w:rPr>
          <w:color w:val="595959"/>
          <w:sz w:val="20"/>
        </w:rPr>
        <w:t>PLA-COM-001  ·  Versión 1  ·  17 de septiembre de 2026</w:t>
      </w:r>
    </w:p>
    <w:p>
      <w:pPr>
        <w:spacing w:before="120"/>
        <w:jc w:val="center"/>
      </w:pPr>
      <w:r>
        <w:rPr>
          <w:color w:val="595959"/>
          <w:sz w:val="18"/>
        </w:rPr>
        <w:t>Elaboró DETA Consultores</w:t>
      </w:r>
    </w:p>
    <w:p>
      <w:pPr>
        <w:jc w:val="center"/>
      </w:pPr>
      <w:r>
        <w:rPr>
          <w:i/>
          <w:color w:val="595959"/>
          <w:sz w:val="18"/>
        </w:rPr>
        <w:t>Borrador para validación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4986"/>
        <w:gridCol w:w="4986"/>
      </w:tblGrid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Código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PLA-COM-001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Versión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Estado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Borrador para validación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emisión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17 de septiembre de 2026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revisión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Septiembre 2027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Custodio del documento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Elabora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DETA Consultores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Revisa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Aprueba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Dirección General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Clasificación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Interno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Razón social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Soluciones Energéticas JEA S.A. de C.V. (SolarPro)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RFC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SEJ151105UV7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Sitios cubiertos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Matriz Chihuahua; operación Ciudad Juárez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HISTORIAL DE REVISIONES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11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1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17 de septiembre de 2026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 derivada de la cláusula 7.4 del SGC (ISO 9001:2015).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CONTENIDO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IDENTIFICACIÓN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Detalle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Código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PLA-COM-001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Nombre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Plan de Comunicación del SGC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Razón social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Soluciones Energeticas JEA, S.A. de C.V. (RFC SEJ151105UV7)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Marcas / unidades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SolarPro y Capital Climas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Cláusula ISO 9001:2015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7.4 Comunicación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Responsable del plan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Administrativa, custodio del SGC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Estado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Borrador para validación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Documento controlado del Sistema de Gestión de Calidad (SGC). Aplica a las sedes de Chihuahua y Ciudad Juárez y a las unidades de negocio SolarPro y Capital Climas.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Nombre de la persona designada como custodio del SGC. El rol se asigna a la Gerencia Administrativa; el nombre se confirma junto con el resto de responsables internos del sistema documental, conforme a la convención del Manual MC-SP-01 (roles, no nombres, en el cuerpo del documento).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1. Objetivo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Establecer la forma en que la organización determina, ejecuta y controla las comunicaciones internas y externas pertinentes al Sistema de Gestión de Calidad, definiendo qué se comunica, cuándo, a quién, cómo y por quién, con el fin de asegurar que la información relevante del SGC llegue de manera oportuna, clara y trazable a las partes interesadas correspondientes.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2.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Aplica a todas las comunicaciones relacionadas con el SGC generadas o recibidas por Soluciones Energeticas JEA, S.A. de C.V., en cualquiera de sus sedes y unidades de negocio, tanto de carácter interno (entre las áreas y el personal) como externo (con clientes, proveedores, autoridades y otras partes interesadas).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Comprende la comunicación de la Política de Calidad, los objetivos de calidad, los resultados de indicadores, los cambios en el SGC, las no conformidades y acciones correctivas, los riesgos y oportunidades, los resultados de auditoría y de la revisión por la Dirección, así como la información comercial, de proyecto, de postventa y de compras que impacta la calidad del servicio.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3. Definiciones</w:t>
      </w:r>
    </w:p>
    <w:p>
      <w:pPr>
        <w:pStyle w:val="ListBullet"/>
      </w:pPr>
      <w:r>
        <w:rPr>
          <w:rFonts w:ascii="Calibri" w:hAnsi="Calibri"/>
          <w:sz w:val="20"/>
        </w:rPr>
        <w:t>SGC: Sistema de Gestión de Calidad conforme a ISO 9001:2015.</w:t>
      </w:r>
    </w:p>
    <w:p>
      <w:pPr>
        <w:pStyle w:val="ListBullet"/>
      </w:pPr>
      <w:r>
        <w:rPr>
          <w:rFonts w:ascii="Calibri" w:hAnsi="Calibri"/>
          <w:sz w:val="20"/>
        </w:rPr>
        <w:t>Comunicación interna: intercambio de información sobre el SGC entre la Dirección, las áreas y el personal de la organización.</w:t>
      </w:r>
    </w:p>
    <w:p>
      <w:pPr>
        <w:pStyle w:val="ListBullet"/>
      </w:pPr>
      <w:r>
        <w:rPr>
          <w:rFonts w:ascii="Calibri" w:hAnsi="Calibri"/>
          <w:sz w:val="20"/>
        </w:rPr>
        <w:t>Comunicación externa: intercambio de información sobre el SGC con partes interesadas ajenas a la organización (clientes, proveedores, autoridades).</w:t>
      </w:r>
    </w:p>
    <w:p>
      <w:pPr>
        <w:pStyle w:val="ListBullet"/>
      </w:pPr>
      <w:r>
        <w:rPr>
          <w:rFonts w:ascii="Calibri" w:hAnsi="Calibri"/>
          <w:sz w:val="20"/>
        </w:rPr>
        <w:t>Canal: medio a través del cual se transmite la comunicación (reunión, correo, tablero, teléfono, mensajería, plataforma de gestión, entre otros).</w:t>
      </w:r>
    </w:p>
    <w:p>
      <w:pPr>
        <w:pStyle w:val="ListBullet"/>
      </w:pPr>
      <w:r>
        <w:rPr>
          <w:rFonts w:ascii="Calibri" w:hAnsi="Calibri"/>
          <w:sz w:val="20"/>
        </w:rPr>
        <w:t>Parte interesada: persona u organización que puede afectar, verse afectada o percibirse como afectada por las actividades de la organización.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4. Responsabilidades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Rol</w:t>
            </w:r>
          </w:p>
        </w:tc>
        <w:tc>
          <w:tcPr>
            <w:tcW w:type="dxa" w:w="498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Responsabilidad en la comunicación del SGC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Dirección General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Comunicar la dirección estratégica y los resultados de la revisión por la Dirección; respaldar la difusión de la Política de Calidad; aprobar comunicaciones externas de carácter institucional o legal.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(responsable del SGC)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Mantener y aplicar este plan; coordinar la difusión de documentos, política, objetivos, indicadores, cambios y resultados del SGC; verificar que la comunicación se realice y quede registrada.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Comunicar con clientes y prospectos los requisitos, cotizaciones, contratos e información de servicios; canalizar retroalimentación del cliente hacia el SGC.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Ingeniería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Comunicar especificaciones técnicas y de diseño al personal y áreas involucradas.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Instalaciones / Operaciones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Comunicar el avance y entrega de proyectos al cliente y al equipo de trabajo.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Postventa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Comunicar y dar seguimiento a garantías, quejas y solicitudes de servicio del cliente.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Almacén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Comunicar requisitos de compra y resultados de recepción a proveedores y áreas internas.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Responsables de área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Difundir a su personal la información del SGC que les corresponde y asegurar su comprensión.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Todo el personal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9"/>
              </w:rPr>
              <w:t>Recibir, atender y aplicar las comunicaciones del SGC; reportar por los canales establecidos.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5. Matriz de comunicación interna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comunicación interna del SGC se planifica conforme a la siguiente matriz, que responde a qué se comunica, cuándo, a quién, cómo y por quién.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Qué se comunica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Cuándo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 quién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Cómo (canal)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Por quién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Política de Calidad (POL-CAL-001)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 ingreso del personal y al actualizarse; refuerzo periódico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Todo el personal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Difusión en reunión, tablero de avisos y correo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Objetivos de calidad y su avance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En periodos de seguimiento definidos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Responsables de área y personal involucrado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Reunión de seguimiento y tablero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Resultados de indicadores (PLA-MED-001)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Conforme a la frecuencia de medición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Dirección y responsables de área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Reunión de revisión y reporte de indicadores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Cambios en el SGC (documentos nuevos o revisados)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 liberar el cambio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Personal afectado por el documento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Correo y actualización de la lista maestra de documentos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No conformidades y acciones correctivas (REG-NCA-001, PRO-AC-001)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 detectarse y durante su tratamiento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Responsable del proceso afectado y Dirección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Reporte de no conformidad y reunión de seguimiento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Quien detecta la no conformidad / Gerencia Administrativa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Riesgos y oportunidades (MAT-RIE-001)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 actualizarse la matriz o al surgir un riesgo relevante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Responsables de área involucrados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Reunión de planeación y revisión de la matriz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Resultados de auditoría interna (PRG-AUD-001)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 cierre de cada auditoría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Dirección y áreas auditadas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Informe de auditoría y reunión de cierre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Auditor / Gerencia Administrativa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Plan y avance de capacitación (PLA-CAP-001)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Conforme al programa de capacitación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Personal a capacitar y sus jefes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Correo, tablero y confirmación de asistencia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Resultados de la revisión por la Dirección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Posterior a cada revisión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Responsables de área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Minuta de revisión y reunión de comunicación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Dirección General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Roles, responsabilidades y perfiles de puesto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 ingreso y al modificarse el perfil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Colaborador y su jefe inmediato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Entrega documentada del perfil de puesto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6. Matriz de comunicación externa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comunicación externa del SGC con clientes, proveedores y autoridades se planifica conforme a la siguiente matriz. La comunicación con el cliente se rige además por el procedimiento PRO-COM-001 (Comunicación con el cliente, cláusula 8.2.1 de ISO 9001:2015), que gobierna el intercambio de requisitos, cotización, avance y postventa; esta matriz y dicho procedimiento se mantienen alineados entre sí.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Qué se comunica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Cuándo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 quién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Cómo (canal)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Por quién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Requisitos, cotización y confirmación de pedido o contrato (PRO-VEN, PRO-COM-001)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Durante el proceso de venta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Cliente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Cotización, contrato y correo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Avance y entrega del proyecto de instalación (PRO-COM-001)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Durante la ejecución del proyecto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Cliente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Reporte de avance, correo y teléfono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Instalaciones / Operaciones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Atención postventa, garantías y quejas (PRO-PVM, PRO-COM-001)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 recibir la solicitud del cliente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Cliente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Canal de contacto de postventa y seguimiento documentado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Postventa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Requisitos de compra y resultado de evaluación (PRO-PRV-001)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 colocar el pedido y al evaluar al proveedor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Proveedor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Orden de compra y correo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Almacén / Gerencia Administrativa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Cumplimiento de requisitos legales y reglamentarios aplicables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Según aplique o sea requerido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Autoridad competente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Medios y trámites oficiales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Dirección General / Gerencia Administrativa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Información de la organización y sus servicios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De forma permanente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Clientes potenciales y partes interesadas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Sitio web, redes y material comercial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7. Canales de comunicación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Los canales se clasifican en internos y externos. Para cada tipo de comunicación de las matrices anteriores se define el canal oficial y su responsable, evitando la dispersión de la información en medios no controlados.</w:t>
      </w:r>
    </w:p>
    <w:p>
      <w:pPr>
        <w:pStyle w:val="ListBullet"/>
      </w:pPr>
      <w:r>
        <w:rPr>
          <w:rFonts w:ascii="Calibri" w:hAnsi="Calibri"/>
          <w:sz w:val="20"/>
        </w:rPr>
        <w:t>Canales internos previstos: reuniones periódicas de seguimiento, tablero de avisos, correo institucional, entrega documentada de documentos y perfiles, y la lista maestra de documentos del SGC.</w:t>
      </w:r>
    </w:p>
    <w:p>
      <w:pPr>
        <w:pStyle w:val="ListBullet"/>
      </w:pPr>
      <w:r>
        <w:rPr>
          <w:rFonts w:ascii="Calibri" w:hAnsi="Calibri"/>
          <w:sz w:val="20"/>
        </w:rPr>
        <w:t>Canales externos previstos: correo, teléfono, cotización y contrato, orden de compra, canal de atención postventa, sitio web y material comercial.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Inventario de los canales de comunicación actuales del equipo (por ejemplo: grupos de mensajería, correo institucional, telefonía, tablero físico, reuniones periódicas y plataforma o carpeta de gestión). Confirmar, para cada canal, quién es su responsable y qué tipo de comunicación del SGC circula por él, a fin de designar el canal oficial de cada mensaje en las matrices de las secciones 5 y 6.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Calendario o ritmo real de reuniones de seguimiento del equipo (frecuencia y participantes) para fijar la cadencia de comunicación de objetivos, indicadores y avance del SGC.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8. Seguimiento y evidencia de uso del plan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Para asegurar que el plan de comunicación se mantiene documentado y en uso, cada comunicación relevante del SGC deja evidencia. La Gerencia Administrativa verifica de forma periódica que las comunicaciones planificadas se hayan realizado y estén registradas.</w:t>
      </w:r>
    </w:p>
    <w:p>
      <w:pPr>
        <w:pStyle w:val="ListNumber"/>
      </w:pPr>
      <w:r>
        <w:rPr>
          <w:b/>
          <w:sz w:val="20"/>
        </w:rPr>
        <w:t xml:space="preserve">Ejecución. </w:t>
      </w:r>
      <w:r>
        <w:rPr>
          <w:rFonts w:ascii="Calibri" w:hAnsi="Calibri"/>
          <w:sz w:val="20"/>
        </w:rPr>
        <w:t>Cada responsable ejecuta la comunicación por el canal definido en las matrices, en el momento indicado.</w:t>
      </w:r>
    </w:p>
    <w:p>
      <w:pPr>
        <w:pStyle w:val="ListNumber"/>
      </w:pPr>
      <w:r>
        <w:rPr>
          <w:b/>
          <w:sz w:val="20"/>
        </w:rPr>
        <w:t xml:space="preserve">Registro. </w:t>
      </w:r>
      <w:r>
        <w:rPr>
          <w:rFonts w:ascii="Calibri" w:hAnsi="Calibri"/>
          <w:sz w:val="20"/>
        </w:rPr>
        <w:t>La comunicación se respalda con evidencia (minuta, lista de asistencia, correo, acuse de entrega, publicación en tablero, reporte).</w:t>
      </w:r>
    </w:p>
    <w:p>
      <w:pPr>
        <w:pStyle w:val="ListNumber"/>
      </w:pPr>
      <w:r>
        <w:rPr>
          <w:b/>
          <w:sz w:val="20"/>
        </w:rPr>
        <w:t xml:space="preserve">Verificación. </w:t>
      </w:r>
      <w:r>
        <w:rPr>
          <w:rFonts w:ascii="Calibri" w:hAnsi="Calibri"/>
          <w:sz w:val="20"/>
        </w:rPr>
        <w:t>La Gerencia Administrativa revisa que las comunicaciones clave del periodo se hayan efectuado y documentado, y detecta desviaciones.</w:t>
      </w:r>
    </w:p>
    <w:p>
      <w:pPr>
        <w:pStyle w:val="ListNumber"/>
      </w:pPr>
      <w:r>
        <w:rPr>
          <w:b/>
          <w:sz w:val="20"/>
        </w:rPr>
        <w:t xml:space="preserve">Ajuste. </w:t>
      </w:r>
      <w:r>
        <w:rPr>
          <w:rFonts w:ascii="Calibri" w:hAnsi="Calibri"/>
          <w:sz w:val="20"/>
        </w:rPr>
        <w:t>Cuando un canal o una comunicación no cumple su propósito, se ajusta el plan y se comunica la actualización.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Criterio de aceptación: el plan de comunicación se considera conforme cuando está documentado, aprobado y en uso, con evidencia de que las comunicaciones internas y externas planificadas se realizan de manera oportuna y trazable.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9. Registros</w:t>
      </w:r>
    </w:p>
    <w:p>
      <w:pPr>
        <w:pStyle w:val="ListBullet"/>
      </w:pPr>
      <w:r>
        <w:rPr>
          <w:rFonts w:ascii="Calibri" w:hAnsi="Calibri"/>
          <w:sz w:val="20"/>
        </w:rPr>
        <w:t>Minutas y listas de asistencia de reuniones de difusión y seguimiento</w:t>
      </w:r>
    </w:p>
    <w:p>
      <w:pPr>
        <w:pStyle w:val="ListBullet"/>
      </w:pPr>
      <w:r>
        <w:rPr>
          <w:rFonts w:ascii="Calibri" w:hAnsi="Calibri"/>
          <w:sz w:val="20"/>
        </w:rPr>
        <w:t>Correos y avisos de tablero relativos al SGC</w:t>
      </w:r>
    </w:p>
    <w:p>
      <w:pPr>
        <w:pStyle w:val="ListBullet"/>
      </w:pPr>
      <w:r>
        <w:rPr>
          <w:rFonts w:ascii="Calibri" w:hAnsi="Calibri"/>
          <w:sz w:val="20"/>
        </w:rPr>
        <w:t>Acuses de entrega de documentos y de perfiles de puesto</w:t>
      </w:r>
    </w:p>
    <w:p>
      <w:pPr>
        <w:pStyle w:val="ListBullet"/>
      </w:pPr>
      <w:r>
        <w:rPr>
          <w:rFonts w:ascii="Calibri" w:hAnsi="Calibri"/>
          <w:sz w:val="20"/>
        </w:rPr>
        <w:t>Informes de auditoría interna (PRG-AUD-001)</w:t>
      </w:r>
    </w:p>
    <w:p>
      <w:pPr>
        <w:pStyle w:val="ListBullet"/>
      </w:pPr>
      <w:r>
        <w:rPr>
          <w:rFonts w:ascii="Calibri" w:hAnsi="Calibri"/>
          <w:sz w:val="20"/>
        </w:rPr>
        <w:t>Registro de no conformidades (REG-NCA-001) y acciones correctivas (PRO-AC-001)</w:t>
      </w:r>
    </w:p>
    <w:p>
      <w:pPr>
        <w:pStyle w:val="ListBullet"/>
      </w:pPr>
      <w:r>
        <w:rPr>
          <w:rFonts w:ascii="Calibri" w:hAnsi="Calibri"/>
          <w:sz w:val="20"/>
        </w:rPr>
        <w:t>Reportes de indicadores (PLA-MED-001) y minutas de revisión por la Dirección</w:t>
      </w:r>
    </w:p>
    <w:p>
      <w:pPr>
        <w:pStyle w:val="ListBullet"/>
      </w:pPr>
      <w:r>
        <w:rPr>
          <w:rFonts w:ascii="Calibri" w:hAnsi="Calibri"/>
          <w:sz w:val="20"/>
        </w:rPr>
        <w:t>Cotizaciones, contratos, órdenes de compra y registros de atención postventa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10. Referencias</w:t>
      </w:r>
    </w:p>
    <w:p>
      <w:pPr>
        <w:pStyle w:val="ListBullet"/>
      </w:pPr>
      <w:r>
        <w:rPr>
          <w:rFonts w:ascii="Calibri" w:hAnsi="Calibri"/>
          <w:sz w:val="20"/>
        </w:rPr>
        <w:t>ISO 9001:2015, requisito 7.4 Comunicación</w:t>
      </w:r>
    </w:p>
    <w:p>
      <w:pPr>
        <w:pStyle w:val="ListBullet"/>
      </w:pPr>
      <w:r>
        <w:rPr>
          <w:rFonts w:ascii="Calibri" w:hAnsi="Calibri"/>
          <w:sz w:val="20"/>
        </w:rPr>
        <w:t>Manual de Calidad MC-SP-01</w:t>
      </w:r>
    </w:p>
    <w:p>
      <w:pPr>
        <w:pStyle w:val="ListBullet"/>
      </w:pPr>
      <w:r>
        <w:rPr>
          <w:rFonts w:ascii="Calibri" w:hAnsi="Calibri"/>
          <w:sz w:val="20"/>
        </w:rPr>
        <w:t>Política de Calidad POL-CAL-001</w:t>
      </w:r>
    </w:p>
    <w:p>
      <w:pPr>
        <w:pStyle w:val="ListBullet"/>
      </w:pPr>
      <w:r>
        <w:rPr>
          <w:rFonts w:ascii="Calibri" w:hAnsi="Calibri"/>
          <w:sz w:val="20"/>
        </w:rPr>
        <w:t>Procedimiento de comunicación con el cliente PRO-COM-001 (cláusula 8.2.1)</w:t>
      </w:r>
    </w:p>
    <w:p>
      <w:pPr>
        <w:pStyle w:val="ListBullet"/>
      </w:pPr>
      <w:r>
        <w:rPr>
          <w:rFonts w:ascii="Calibri" w:hAnsi="Calibri"/>
          <w:sz w:val="20"/>
        </w:rPr>
        <w:t>Plan de capacitación PLA-CAP-001</w:t>
      </w:r>
    </w:p>
    <w:p>
      <w:pPr>
        <w:pStyle w:val="ListBullet"/>
      </w:pPr>
      <w:r>
        <w:rPr>
          <w:rFonts w:ascii="Calibri" w:hAnsi="Calibri"/>
          <w:sz w:val="20"/>
        </w:rPr>
        <w:t>Plan de medición PLA-MED-001</w:t>
      </w:r>
    </w:p>
    <w:p>
      <w:pPr>
        <w:pStyle w:val="ListBullet"/>
      </w:pPr>
      <w:r>
        <w:rPr>
          <w:rFonts w:ascii="Calibri" w:hAnsi="Calibri"/>
          <w:sz w:val="20"/>
        </w:rPr>
        <w:t>Programa de auditoría PRG-AUD-001</w:t>
      </w:r>
    </w:p>
    <w:p>
      <w:pPr>
        <w:pStyle w:val="ListBullet"/>
      </w:pPr>
      <w:r>
        <w:rPr>
          <w:rFonts w:ascii="Calibri" w:hAnsi="Calibri"/>
          <w:sz w:val="20"/>
        </w:rPr>
        <w:t>Procedimiento de acciones correctivas PRO-AC-001 y Bitácora de no conformidades REG-NCA-001</w:t>
      </w:r>
    </w:p>
    <w:p>
      <w:pPr>
        <w:pStyle w:val="ListBullet"/>
      </w:pPr>
      <w:r>
        <w:rPr>
          <w:rFonts w:ascii="Calibri" w:hAnsi="Calibri"/>
          <w:sz w:val="20"/>
        </w:rPr>
        <w:t>Matriz de riesgos MAT-RIE-001</w:t>
      </w:r>
    </w:p>
    <w:p>
      <w:pPr>
        <w:pStyle w:val="ListBullet"/>
      </w:pPr>
      <w:r>
        <w:rPr>
          <w:rFonts w:ascii="Calibri" w:hAnsi="Calibri"/>
          <w:sz w:val="20"/>
        </w:rPr>
        <w:t>Procedimiento de proveedores PRO-PRV-001</w:t>
      </w:r>
    </w:p>
    <w:p>
      <w:pPr>
        <w:pStyle w:val="ListBullet"/>
      </w:pPr>
      <w:r>
        <w:rPr>
          <w:rFonts w:ascii="Calibri" w:hAnsi="Calibri"/>
          <w:sz w:val="20"/>
        </w:rPr>
        <w:t>Procedimientos por área: Ingeniería (PRO-ING), Comercial (PRO-VEN), Postventa (PRO-PVM), Almacén (PRO-ALM), Operaciones (PRO-OPE)</w:t>
      </w:r>
    </w:p>
    <w:p>
      <w:pPr>
        <w:pStyle w:val="ListBullet"/>
      </w:pPr>
      <w:r>
        <w:rPr>
          <w:rFonts w:ascii="Calibri" w:hAnsi="Calibri"/>
          <w:sz w:val="20"/>
        </w:rPr>
        <w:t>Requisitos legales y reglamentarios aplicables a la organización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11. Control de cambios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presente es un documento controlado del SGC. Toda modificación queda registrada en la siguiente tabla de control de versiones, indicando la versión, la fecha, la descripción del cambio y el responsable de su elaboración.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1.0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SolarPro]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 del documento (borrador para validación).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Fecha de emisión de la versión 1.0 para cerrar el control de versiones. Las versiones posteriores se registran en esta misma tabla al liberar cada cambio.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12. Firmas y autorización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vigencia de este documento requiere la firma de quienes lo elaboran, revisan y aprueban conforme a los roles del SGC. Los nombres se registran al momento de la firma, respetando la convención de roles del Manual MC-SP-01.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Etapa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Rol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Nombre</w:t>
            </w:r>
          </w:p>
        </w:tc>
        <w:tc>
          <w:tcPr>
            <w:tcW w:type="dxa" w:w="24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Firma y fecha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Elaboró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(responsable del SGC)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Revisó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Responsable de área designado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Aprobó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Dirección General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validar]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Nombres de las personas que elaboran, revisan y aprueban el documento y las fechas de firma. Los nombres se confirman junto con el resto de responsables internos del sistema documental.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APROBACIÓN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Gerencia Administrativa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Plan de Comunicación del SGC · PLA-COM-001 V1</w:t>
    </w:r>
    <w:r>
      <w:tab/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PAGE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rPr>
        <w:color w:val="595959"/>
        <w:sz w:val="15"/>
      </w:rPr>
      <w:t xml:space="preserve"> /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NUMPAGES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