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Plan de Personal y Plantilla</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PLA-PER-001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PLA-PER-001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7.1.2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IDENTIFICACION DEL DOCUMENTO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Campo</w:t>
            </w:r>
          </w:p>
        </w:tc>
        <w:tc>
          <w:tcPr>
            <w:tcW w:type="dxa" w:w="4986"/>
            <w:shd w:val="clear" w:fill="0056B4"/>
          </w:tcPr>
          <w:p>
            <w:pPr>
              <w:jc w:val="center"/>
            </w:pPr>
            <w:r/>
            <w:r>
              <w:rPr>
                <w:rFonts w:ascii="Calibri" w:hAnsi="Calibri"/>
                <w:b/>
                <w:color w:val="FFFFFF"/>
                <w:sz w:val="17"/>
              </w:rPr>
              <w:t>Detalle</w:t>
            </w:r>
          </w:p>
        </w:tc>
      </w:tr>
      <w:tr>
        <w:tc>
          <w:tcPr>
            <w:tcW w:type="dxa" w:w="4986"/>
          </w:tcPr>
          <w:p>
            <w:r/>
            <w:r>
              <w:rPr>
                <w:rFonts w:ascii="Calibri" w:hAnsi="Calibri"/>
                <w:b w:val="0"/>
                <w:sz w:val="19"/>
              </w:rPr>
              <w:t>Codigo</w:t>
            </w:r>
          </w:p>
        </w:tc>
        <w:tc>
          <w:tcPr>
            <w:tcW w:type="dxa" w:w="4986"/>
          </w:tcPr>
          <w:p>
            <w:r/>
            <w:r>
              <w:rPr>
                <w:rFonts w:ascii="Calibri" w:hAnsi="Calibri"/>
                <w:b w:val="0"/>
                <w:sz w:val="19"/>
              </w:rPr>
              <w:t>PLA-PER-001</w:t>
            </w:r>
          </w:p>
        </w:tc>
      </w:tr>
      <w:tr>
        <w:tc>
          <w:tcPr>
            <w:tcW w:type="dxa" w:w="4986"/>
          </w:tcPr>
          <w:p>
            <w:r/>
            <w:r>
              <w:rPr>
                <w:rFonts w:ascii="Calibri" w:hAnsi="Calibri"/>
                <w:b w:val="0"/>
                <w:sz w:val="19"/>
              </w:rPr>
              <w:t>Nombre</w:t>
            </w:r>
          </w:p>
        </w:tc>
        <w:tc>
          <w:tcPr>
            <w:tcW w:type="dxa" w:w="4986"/>
          </w:tcPr>
          <w:p>
            <w:r/>
            <w:r>
              <w:rPr>
                <w:rFonts w:ascii="Calibri" w:hAnsi="Calibri"/>
                <w:b w:val="0"/>
                <w:sz w:val="19"/>
              </w:rPr>
              <w:t>Plan de Personal y Plantilla</w:t>
            </w:r>
          </w:p>
        </w:tc>
      </w:tr>
      <w:tr>
        <w:tc>
          <w:tcPr>
            <w:tcW w:type="dxa" w:w="4986"/>
          </w:tcPr>
          <w:p>
            <w:r/>
            <w:r>
              <w:rPr>
                <w:rFonts w:ascii="Calibri" w:hAnsi="Calibri"/>
                <w:b w:val="0"/>
                <w:sz w:val="19"/>
              </w:rPr>
              <w:t>Clausula ISO 9001:2015</w:t>
            </w:r>
          </w:p>
        </w:tc>
        <w:tc>
          <w:tcPr>
            <w:tcW w:type="dxa" w:w="4986"/>
          </w:tcPr>
          <w:p>
            <w:r/>
            <w:r>
              <w:rPr>
                <w:rFonts w:ascii="Calibri" w:hAnsi="Calibri"/>
                <w:b w:val="0"/>
                <w:sz w:val="19"/>
              </w:rPr>
              <w:t>7.1.2 Personas</w:t>
            </w:r>
          </w:p>
        </w:tc>
      </w:tr>
      <w:tr>
        <w:tc>
          <w:tcPr>
            <w:tcW w:type="dxa" w:w="4986"/>
          </w:tcPr>
          <w:p>
            <w:r/>
            <w:r>
              <w:rPr>
                <w:rFonts w:ascii="Calibri" w:hAnsi="Calibri"/>
                <w:b w:val="0"/>
                <w:sz w:val="19"/>
              </w:rPr>
              <w:t>Responsable</w:t>
            </w:r>
          </w:p>
        </w:tc>
        <w:tc>
          <w:tcPr>
            <w:tcW w:type="dxa" w:w="4986"/>
          </w:tcPr>
          <w:p>
            <w:r/>
            <w:r>
              <w:rPr>
                <w:rFonts w:ascii="Calibri" w:hAnsi="Calibri"/>
                <w:b w:val="0"/>
                <w:sz w:val="19"/>
              </w:rPr>
              <w:t>Gerencia Administrativa (custodio del SGC)</w:t>
            </w:r>
          </w:p>
        </w:tc>
      </w:tr>
      <w:tr>
        <w:tc>
          <w:tcPr>
            <w:tcW w:type="dxa" w:w="4986"/>
          </w:tcPr>
          <w:p>
            <w:r/>
            <w:r>
              <w:rPr>
                <w:rFonts w:ascii="Calibri" w:hAnsi="Calibri"/>
                <w:b w:val="0"/>
                <w:sz w:val="19"/>
              </w:rPr>
              <w:t>Razon social</w:t>
            </w:r>
          </w:p>
        </w:tc>
        <w:tc>
          <w:tcPr>
            <w:tcW w:type="dxa" w:w="4986"/>
          </w:tcPr>
          <w:p>
            <w:r/>
            <w:r>
              <w:rPr>
                <w:rFonts w:ascii="Calibri" w:hAnsi="Calibri"/>
                <w:b w:val="0"/>
                <w:sz w:val="19"/>
              </w:rPr>
              <w:t>Soluciones Energeticas JEA, S.A. de C.V. (RFC SEJ151105UV7)</w:t>
            </w:r>
          </w:p>
        </w:tc>
      </w:tr>
      <w:tr>
        <w:tc>
          <w:tcPr>
            <w:tcW w:type="dxa" w:w="4986"/>
          </w:tcPr>
          <w:p>
            <w:r/>
            <w:r>
              <w:rPr>
                <w:rFonts w:ascii="Calibri" w:hAnsi="Calibri"/>
                <w:b w:val="0"/>
                <w:sz w:val="19"/>
              </w:rPr>
              <w:t>Unidades de negocio</w:t>
            </w:r>
          </w:p>
        </w:tc>
        <w:tc>
          <w:tcPr>
            <w:tcW w:type="dxa" w:w="4986"/>
          </w:tcPr>
          <w:p>
            <w:r/>
            <w:r>
              <w:rPr>
                <w:rFonts w:ascii="Calibri" w:hAnsi="Calibri"/>
                <w:b w:val="0"/>
                <w:sz w:val="19"/>
              </w:rPr>
              <w:t>[Por validar con SolarPro]</w:t>
            </w:r>
          </w:p>
        </w:tc>
      </w:tr>
      <w:tr>
        <w:tc>
          <w:tcPr>
            <w:tcW w:type="dxa" w:w="4986"/>
          </w:tcPr>
          <w:p>
            <w:r/>
            <w:r>
              <w:rPr>
                <w:rFonts w:ascii="Calibri" w:hAnsi="Calibri"/>
                <w:b w:val="0"/>
                <w:sz w:val="19"/>
              </w:rPr>
              <w:t>Sedes</w:t>
            </w:r>
          </w:p>
        </w:tc>
        <w:tc>
          <w:tcPr>
            <w:tcW w:type="dxa" w:w="4986"/>
          </w:tcPr>
          <w:p>
            <w:r/>
            <w:r>
              <w:rPr>
                <w:rFonts w:ascii="Calibri" w:hAnsi="Calibri"/>
                <w:b w:val="0"/>
                <w:sz w:val="19"/>
              </w:rPr>
              <w:t>[Por validar con SolarPro]</w:t>
            </w:r>
          </w:p>
        </w:tc>
      </w:tr>
      <w:tr>
        <w:tc>
          <w:tcPr>
            <w:tcW w:type="dxa" w:w="4986"/>
          </w:tcPr>
          <w:p>
            <w:r/>
            <w:r>
              <w:rPr>
                <w:rFonts w:ascii="Calibri" w:hAnsi="Calibri"/>
                <w:b w:val="0"/>
                <w:sz w:val="19"/>
              </w:rPr>
              <w:t>Estado</w:t>
            </w:r>
          </w:p>
        </w:tc>
        <w:tc>
          <w:tcPr>
            <w:tcW w:type="dxa" w:w="4986"/>
          </w:tcPr>
          <w:p>
            <w:r/>
            <w:r>
              <w:rPr>
                <w:rFonts w:ascii="Calibri" w:hAnsi="Calibri"/>
                <w:b w:val="0"/>
                <w:sz w:val="19"/>
              </w:rPr>
              <w:t>Borrador para validacion</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Documento en estado Borrador para validacion. Las cifras de plantilla, vacantes y metas de cobertura, asi como las unidades de negocio y las sedes cubiertas, se confirman con la Direccion de Soluciones Energeticas JEA, S.A. de C.V. conforme al alcance formal del SGC antes de su liberacion controlada. La designacion nominal del responsable interno de Gerencia Administrativa queda como input pendiente del cliente; el cuerpo del documento se mantiene en convencion de roles, no de nombres de persona, consistente con el Manual de Calidad MC-SP-01.</w:t>
            </w:r>
          </w:p>
        </w:tc>
      </w:tr>
    </w:tbl>
    <w:p>
      <w:pPr>
        <w:spacing w:after="40"/>
      </w:pP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Determinar y proveer las personas necesarias para la operacion eficaz del Sistema de Gestion de la Calidad (SGC) y para el control de sus procesos, conforme a la clausula 7.1.2 de ISO 9001:2015. El plan define la plantilla requerida por area, las vacantes existentes, las metas de cobertura de plantilla en el tiempo y la disponibilidad de personal competente para operar el SGC en Soluciones Energeticas JEA, S.A. de C.V., dentro del alcance del SGC que defina la Direccion.</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las areas y puestos de Soluciones Energeticas JEA, S.A. de C.V. comprendidos en el alcance del SGC. Cubre la planeacion de la plantilla, la identificacion y priorizacion de vacantes, el seguimiento de la cobertura y la asignacion de personal para la operacion del SGC. Se relaciona directamente con los perfiles de puesto ISO y con el plan de capacitacion, y alimenta los procesos de reclutamiento y seleccion. Las unidades de negocio y las sedes especificas cubiertas se confirman conforme al alcance formal del SGC que defina la Direccion.</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las unidades de negocio (por ejemplo SolarPro y Capital Climas) y las sedes (por ejemplo Chihuahua y Ciudad Juarez) que quedan dentro del alcance del SGC. El alcance formal del SGC y las partes interesadas (Ola 1, Marco del SGC) aun no estan documentados, y el Manual de Calidad MC-SP-01 se encuentra acotado a SolarPro. Alinear este plan con el alcance que defina la Direccion antes de su liberacion controlada.</w:t>
            </w:r>
          </w:p>
        </w:tc>
      </w:tr>
    </w:tbl>
    <w:p>
      <w:pPr>
        <w:spacing w:after="40"/>
      </w:pPr>
    </w:p>
    <w:p>
      <w:pPr>
        <w:keepNext/>
        <w:spacing w:before="280" w:after="80"/>
        <w:pBdr>
          <w:bottom w:val="single" w:sz="8" w:color="F0E528"/>
        </w:pBdr>
      </w:pPr>
      <w:r>
        <w:rPr>
          <w:rFonts w:ascii="Georgia" w:hAnsi="Georgia"/>
          <w:b/>
          <w:color w:val="0056B4"/>
          <w:sz w:val="26"/>
        </w:rPr>
        <w:t>3. Definiciones</w:t>
      </w:r>
    </w:p>
    <w:p>
      <w:pPr>
        <w:pStyle w:val="ListBullet"/>
      </w:pPr>
      <w:r>
        <w:rPr>
          <w:rFonts w:ascii="Calibri" w:hAnsi="Calibri"/>
          <w:sz w:val="20"/>
        </w:rPr>
        <w:t>Plantilla autorizada: numero de posiciones aprobadas por la Direccion para cada area.</w:t>
      </w:r>
    </w:p>
    <w:p>
      <w:pPr>
        <w:pStyle w:val="ListBullet"/>
      </w:pPr>
      <w:r>
        <w:rPr>
          <w:rFonts w:ascii="Calibri" w:hAnsi="Calibri"/>
          <w:sz w:val="20"/>
        </w:rPr>
        <w:t>Plantilla ocupada: posiciones cubiertas con personal activo.</w:t>
      </w:r>
    </w:p>
    <w:p>
      <w:pPr>
        <w:pStyle w:val="ListBullet"/>
      </w:pPr>
      <w:r>
        <w:rPr>
          <w:rFonts w:ascii="Calibri" w:hAnsi="Calibri"/>
          <w:sz w:val="20"/>
        </w:rPr>
        <w:t>Vacante: posicion autorizada que se encuentra sin ocupar.</w:t>
      </w:r>
    </w:p>
    <w:p>
      <w:pPr>
        <w:pStyle w:val="ListBullet"/>
      </w:pPr>
      <w:r>
        <w:rPr>
          <w:rFonts w:ascii="Calibri" w:hAnsi="Calibri"/>
          <w:sz w:val="20"/>
        </w:rPr>
        <w:t>Cobertura de plantilla: relacion entre plantilla ocupada y plantilla autorizada, expresada en porcentaje.</w:t>
      </w:r>
    </w:p>
    <w:p>
      <w:pPr>
        <w:pStyle w:val="ListBullet"/>
      </w:pPr>
      <w:r>
        <w:rPr>
          <w:rFonts w:ascii="Calibri" w:hAnsi="Calibri"/>
          <w:sz w:val="20"/>
        </w:rPr>
        <w:t>Puesto critico para el SGC: posicion cuya ausencia compromete la operacion o el control de un proceso del SGC.</w:t>
      </w:r>
    </w:p>
    <w:p>
      <w:pPr>
        <w:pStyle w:val="ListBullet"/>
      </w:pPr>
      <w:r>
        <w:rPr>
          <w:rFonts w:ascii="Calibri" w:hAnsi="Calibri"/>
          <w:sz w:val="20"/>
        </w:rPr>
        <w:t>Perfil de puesto: documento ISO que define competencias, responsabilidades y requisitos de cada posicion.</w:t>
      </w:r>
    </w:p>
    <w:p>
      <w:pPr>
        <w:keepNext/>
        <w:spacing w:before="280" w:after="80"/>
        <w:pBdr>
          <w:bottom w:val="single" w:sz="8" w:color="F0E528"/>
        </w:pBdr>
      </w:pPr>
      <w:r>
        <w:rPr>
          <w:rFonts w:ascii="Georgia" w:hAnsi="Georgia"/>
          <w:b/>
          <w:color w:val="0056B4"/>
          <w:sz w:val="26"/>
        </w:rPr>
        <w:t>4. Responsabilidades</w:t>
      </w:r>
    </w:p>
    <w:p>
      <w:pPr>
        <w:pStyle w:val="ListNumber"/>
      </w:pPr>
      <w:r>
        <w:rPr>
          <w:b/>
          <w:sz w:val="20"/>
        </w:rPr>
        <w:t xml:space="preserve">Direccion General. </w:t>
      </w:r>
      <w:r>
        <w:rPr>
          <w:rFonts w:ascii="Calibri" w:hAnsi="Calibri"/>
          <w:sz w:val="20"/>
        </w:rPr>
        <w:t>Aprobar la plantilla autorizada, las metas de cobertura y los recursos para cubrir vacantes.</w:t>
      </w:r>
    </w:p>
    <w:p>
      <w:pPr>
        <w:pStyle w:val="ListNumber"/>
      </w:pPr>
      <w:r>
        <w:rPr>
          <w:b/>
          <w:sz w:val="20"/>
        </w:rPr>
        <w:t xml:space="preserve">Gerencia Administrativa (custodio del SGC). </w:t>
      </w:r>
      <w:r>
        <w:rPr>
          <w:rFonts w:ascii="Calibri" w:hAnsi="Calibri"/>
          <w:sz w:val="20"/>
        </w:rPr>
        <w:t>Elaborar, mantener y actualizar este plan; consolidar la plantilla por area; dar seguimiento a la cobertura y a la disponibilidad de personal para operar el SGC.</w:t>
      </w:r>
    </w:p>
    <w:p>
      <w:pPr>
        <w:pStyle w:val="ListNumber"/>
      </w:pPr>
      <w:r>
        <w:rPr>
          <w:b/>
          <w:sz w:val="20"/>
        </w:rPr>
        <w:t xml:space="preserve">Gerencias y Coordinaciones de area. </w:t>
      </w:r>
      <w:r>
        <w:rPr>
          <w:rFonts w:ascii="Calibri" w:hAnsi="Calibri"/>
          <w:sz w:val="20"/>
        </w:rPr>
        <w:t>Definir y justificar la plantilla requerida de su area, reportar vacantes y validar los perfiles de puesto correspondientes.</w:t>
      </w:r>
    </w:p>
    <w:p>
      <w:pPr>
        <w:pStyle w:val="ListNumber"/>
      </w:pPr>
      <w:r>
        <w:rPr>
          <w:b/>
          <w:sz w:val="20"/>
        </w:rPr>
        <w:t xml:space="preserve">Responsables de proceso. </w:t>
      </w:r>
      <w:r>
        <w:rPr>
          <w:rFonts w:ascii="Calibri" w:hAnsi="Calibri"/>
          <w:sz w:val="20"/>
        </w:rPr>
        <w:t>Asegurar que su personal cuente con la competencia definida en el perfil de puesto y en el plan de capacitacion.</w:t>
      </w:r>
    </w:p>
    <w:p>
      <w:pPr>
        <w:keepNext/>
        <w:spacing w:before="280" w:after="80"/>
        <w:pBdr>
          <w:bottom w:val="single" w:sz="8" w:color="F0E528"/>
        </w:pBdr>
      </w:pPr>
      <w:r>
        <w:rPr>
          <w:rFonts w:ascii="Georgia" w:hAnsi="Georgia"/>
          <w:b/>
          <w:color w:val="0056B4"/>
          <w:sz w:val="26"/>
        </w:rPr>
        <w:t>5. Plantilla requerida por area y vacantes</w:t>
      </w:r>
    </w:p>
    <w:p>
      <w:pPr>
        <w:spacing w:after="120"/>
      </w:pPr>
      <w:r>
        <w:rPr>
          <w:rFonts w:ascii="Calibri" w:hAnsi="Calibri"/>
          <w:color w:val="1C242E"/>
          <w:sz w:val="21"/>
        </w:rPr>
        <w:t>La plantilla requerida se estructura por area organizacional. Para cada area se registra la plantilla autorizada, la plantilla ocupada, las vacantes resultantes y la prioridad de cobertura. Los puestos de cada area se rigen por los perfiles de puesto ISO ya documentados. El listado de areas siguiente es preliminar y se confirma con la Direccion; las cifras se marcan como pendientes de validacion hasta su confirmacion.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662"/>
        <w:gridCol w:w="1662"/>
        <w:gridCol w:w="1662"/>
        <w:gridCol w:w="1662"/>
        <w:gridCol w:w="1662"/>
        <w:gridCol w:w="1662"/>
      </w:tblGrid>
      <w:tr>
        <w:tc>
          <w:tcPr>
            <w:tcW w:type="dxa" w:w="1662"/>
            <w:shd w:val="clear" w:fill="0056B4"/>
          </w:tcPr>
          <w:p>
            <w:pPr>
              <w:jc w:val="center"/>
            </w:pPr>
            <w:r/>
            <w:r>
              <w:rPr>
                <w:rFonts w:ascii="Calibri" w:hAnsi="Calibri"/>
                <w:b/>
                <w:color w:val="FFFFFF"/>
                <w:sz w:val="17"/>
              </w:rPr>
              <w:t>Area</w:t>
            </w:r>
          </w:p>
        </w:tc>
        <w:tc>
          <w:tcPr>
            <w:tcW w:type="dxa" w:w="1662"/>
            <w:shd w:val="clear" w:fill="0056B4"/>
          </w:tcPr>
          <w:p>
            <w:pPr>
              <w:jc w:val="center"/>
            </w:pPr>
            <w:r/>
            <w:r>
              <w:rPr>
                <w:rFonts w:ascii="Calibri" w:hAnsi="Calibri"/>
                <w:b/>
                <w:color w:val="FFFFFF"/>
                <w:sz w:val="17"/>
              </w:rPr>
              <w:t>Puestos de referencia</w:t>
            </w:r>
          </w:p>
        </w:tc>
        <w:tc>
          <w:tcPr>
            <w:tcW w:type="dxa" w:w="1662"/>
            <w:shd w:val="clear" w:fill="0056B4"/>
          </w:tcPr>
          <w:p>
            <w:pPr>
              <w:jc w:val="center"/>
            </w:pPr>
            <w:r/>
            <w:r>
              <w:rPr>
                <w:rFonts w:ascii="Calibri" w:hAnsi="Calibri"/>
                <w:b/>
                <w:color w:val="FFFFFF"/>
                <w:sz w:val="17"/>
              </w:rPr>
              <w:t>Plantilla autorizada</w:t>
            </w:r>
          </w:p>
        </w:tc>
        <w:tc>
          <w:tcPr>
            <w:tcW w:type="dxa" w:w="1662"/>
            <w:shd w:val="clear" w:fill="0056B4"/>
          </w:tcPr>
          <w:p>
            <w:pPr>
              <w:jc w:val="center"/>
            </w:pPr>
            <w:r/>
            <w:r>
              <w:rPr>
                <w:rFonts w:ascii="Calibri" w:hAnsi="Calibri"/>
                <w:b/>
                <w:color w:val="FFFFFF"/>
                <w:sz w:val="17"/>
              </w:rPr>
              <w:t>Plantilla ocupada</w:t>
            </w:r>
          </w:p>
        </w:tc>
        <w:tc>
          <w:tcPr>
            <w:tcW w:type="dxa" w:w="1662"/>
            <w:shd w:val="clear" w:fill="0056B4"/>
          </w:tcPr>
          <w:p>
            <w:pPr>
              <w:jc w:val="center"/>
            </w:pPr>
            <w:r/>
            <w:r>
              <w:rPr>
                <w:rFonts w:ascii="Calibri" w:hAnsi="Calibri"/>
                <w:b/>
                <w:color w:val="FFFFFF"/>
                <w:sz w:val="17"/>
              </w:rPr>
              <w:t>Vacantes</w:t>
            </w:r>
          </w:p>
        </w:tc>
        <w:tc>
          <w:tcPr>
            <w:tcW w:type="dxa" w:w="1662"/>
            <w:shd w:val="clear" w:fill="0056B4"/>
          </w:tcPr>
          <w:p>
            <w:pPr>
              <w:jc w:val="center"/>
            </w:pPr>
            <w:r/>
            <w:r>
              <w:rPr>
                <w:rFonts w:ascii="Calibri" w:hAnsi="Calibri"/>
                <w:b/>
                <w:color w:val="FFFFFF"/>
                <w:sz w:val="17"/>
              </w:rPr>
              <w:t>Prioridad de cobertura</w:t>
            </w:r>
          </w:p>
        </w:tc>
      </w:tr>
      <w:tr>
        <w:tc>
          <w:tcPr>
            <w:tcW w:type="dxa" w:w="1662"/>
          </w:tcPr>
          <w:p>
            <w:r/>
            <w:r>
              <w:rPr>
                <w:rFonts w:ascii="Calibri" w:hAnsi="Calibri"/>
                <w:b w:val="0"/>
                <w:sz w:val="19"/>
              </w:rPr>
              <w:t>Direccion General</w:t>
            </w:r>
          </w:p>
        </w:tc>
        <w:tc>
          <w:tcPr>
            <w:tcW w:type="dxa" w:w="1662"/>
          </w:tcPr>
          <w:p>
            <w:r/>
            <w:r>
              <w:rPr>
                <w:rFonts w:ascii="Calibri" w:hAnsi="Calibri"/>
                <w:b w:val="0"/>
                <w:sz w:val="19"/>
              </w:rPr>
              <w:t>Segun perfiles de puesto ISO del area, incluidos los puestos transversales con perfil ISO (por ejemplo PER-DCA Diseno y Comunicacion Audiovisual)</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Gerencia Comercial</w:t>
            </w:r>
          </w:p>
        </w:tc>
        <w:tc>
          <w:tcPr>
            <w:tcW w:type="dxa" w:w="1662"/>
          </w:tcPr>
          <w:p>
            <w:r/>
            <w:r>
              <w:rPr>
                <w:rFonts w:ascii="Calibri" w:hAnsi="Calibri"/>
                <w:b w:val="0"/>
                <w:sz w:val="19"/>
              </w:rPr>
              <w:t>Segun perfiles de puesto ISO del area</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Gerencia Administrativa</w:t>
            </w:r>
          </w:p>
        </w:tc>
        <w:tc>
          <w:tcPr>
            <w:tcW w:type="dxa" w:w="1662"/>
          </w:tcPr>
          <w:p>
            <w:r/>
            <w:r>
              <w:rPr>
                <w:rFonts w:ascii="Calibri" w:hAnsi="Calibri"/>
                <w:b w:val="0"/>
                <w:sz w:val="19"/>
              </w:rPr>
              <w:t>Segun perfiles de puesto ISO del area</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Coordinacion de Ingenieria</w:t>
            </w:r>
          </w:p>
        </w:tc>
        <w:tc>
          <w:tcPr>
            <w:tcW w:type="dxa" w:w="1662"/>
          </w:tcPr>
          <w:p>
            <w:r/>
            <w:r>
              <w:rPr>
                <w:rFonts w:ascii="Calibri" w:hAnsi="Calibri"/>
                <w:b w:val="0"/>
                <w:sz w:val="19"/>
              </w:rPr>
              <w:t>Segun perfiles de puesto ISO del area</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Coordinacion de Instalaciones / Operaciones</w:t>
            </w:r>
          </w:p>
        </w:tc>
        <w:tc>
          <w:tcPr>
            <w:tcW w:type="dxa" w:w="1662"/>
          </w:tcPr>
          <w:p>
            <w:r/>
            <w:r>
              <w:rPr>
                <w:rFonts w:ascii="Calibri" w:hAnsi="Calibri"/>
                <w:b w:val="0"/>
                <w:sz w:val="19"/>
              </w:rPr>
              <w:t>Segun perfiles de puesto ISO del area (la separacion de Instalaciones y Operaciones en una o dos areas queda por confirmar)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Postventa</w:t>
            </w:r>
          </w:p>
        </w:tc>
        <w:tc>
          <w:tcPr>
            <w:tcW w:type="dxa" w:w="1662"/>
          </w:tcPr>
          <w:p>
            <w:r/>
            <w:r>
              <w:rPr>
                <w:rFonts w:ascii="Calibri" w:hAnsi="Calibri"/>
                <w:b w:val="0"/>
                <w:sz w:val="19"/>
              </w:rPr>
              <w:t>Segun perfiles de puesto ISO del area</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r>
        <w:tc>
          <w:tcPr>
            <w:tcW w:type="dxa" w:w="1662"/>
          </w:tcPr>
          <w:p>
            <w:r/>
            <w:r>
              <w:rPr>
                <w:rFonts w:ascii="Calibri" w:hAnsi="Calibri"/>
                <w:b w:val="0"/>
                <w:sz w:val="19"/>
              </w:rPr>
              <w:t>Almacen</w:t>
            </w:r>
          </w:p>
        </w:tc>
        <w:tc>
          <w:tcPr>
            <w:tcW w:type="dxa" w:w="1662"/>
          </w:tcPr>
          <w:p>
            <w:r/>
            <w:r>
              <w:rPr>
                <w:rFonts w:ascii="Calibri" w:hAnsi="Calibri"/>
                <w:b w:val="0"/>
                <w:sz w:val="19"/>
              </w:rPr>
              <w:t>Segun perfiles de puesto ISO del area</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c>
          <w:tcPr>
            <w:tcW w:type="dxa" w:w="1662"/>
          </w:tcPr>
          <w:p>
            <w:r/>
            <w:r>
              <w:rPr>
                <w:rFonts w:ascii="Calibri" w:hAnsi="Calibri"/>
                <w:b w:val="0"/>
                <w:sz w:val="19"/>
              </w:rPr>
              <w:t>[Por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primero el listado mismo de areas, incluyendo si Instalaciones y Operaciones constituyen una sola area o dos lineas de mando distintas (definicion abierta con el cliente desde el Manual de Calidad MC-SP-01). Verificar que los puestos transversales con perfil de puesto ISO (por ejemplo PER-DCA Diseno y Comunicacion Audiovisual, hoy ubicado en el area General/Direccion del hub) queden cubiertos por alguna fila de la tabla. Completar despues la plantilla autorizada, la plantilla ocupada, las vacantes y la prioridad por area. El cliente aporta una idea parcial de las vacantes y de la plantilla por area que aun falta documentar y confirmar formalmente. No se registran cifras sin validacion de la Direccion.</w:t>
            </w:r>
          </w:p>
        </w:tc>
      </w:tr>
    </w:tbl>
    <w:p>
      <w:pPr>
        <w:spacing w:after="40"/>
      </w:pP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vacantes identificadas y priorizadas en esta seccion alimentan el proceso de reclutamiento y seleccion y se atienden conforme a las metas de cobertura de la seccion 6.</w:t>
            </w:r>
          </w:p>
        </w:tc>
      </w:tr>
    </w:tbl>
    <w:p>
      <w:pPr>
        <w:spacing w:after="40"/>
      </w:pPr>
    </w:p>
    <w:p>
      <w:pPr>
        <w:keepNext/>
        <w:spacing w:before="280" w:after="80"/>
        <w:pBdr>
          <w:bottom w:val="single" w:sz="8" w:color="F0E528"/>
        </w:pBdr>
      </w:pPr>
      <w:r>
        <w:rPr>
          <w:rFonts w:ascii="Georgia" w:hAnsi="Georgia"/>
          <w:b/>
          <w:color w:val="0056B4"/>
          <w:sz w:val="26"/>
        </w:rPr>
        <w:t>6. Meta de cobertura de plantilla por tiempo</w:t>
      </w:r>
    </w:p>
    <w:p>
      <w:pPr>
        <w:spacing w:after="120"/>
      </w:pPr>
      <w:r>
        <w:rPr>
          <w:rFonts w:ascii="Calibri" w:hAnsi="Calibri"/>
          <w:color w:val="1C242E"/>
          <w:sz w:val="21"/>
        </w:rPr>
        <w:t>La cobertura de plantilla mide el grado en que las posiciones autorizadas se encuentran ocupadas. Se establecen metas por horizonte temporal para asegurar que el personal necesario para operar el SGC este disponible de forma oportuna.</w:t>
      </w:r>
    </w:p>
    <w:p>
      <w:pPr>
        <w:spacing w:after="120"/>
      </w:pPr>
      <w:r>
        <w:rPr>
          <w:rFonts w:ascii="Calibri" w:hAnsi="Calibri"/>
          <w:color w:val="1C242E"/>
          <w:sz w:val="21"/>
        </w:rPr>
        <w:t>Formula de calculo: Cobertura (%) = (Plantilla ocupada / Plantilla autorizada) x 100.</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493"/>
            <w:shd w:val="clear" w:fill="0056B4"/>
          </w:tcPr>
          <w:p>
            <w:pPr>
              <w:jc w:val="center"/>
            </w:pPr>
            <w:r/>
            <w:r>
              <w:rPr>
                <w:rFonts w:ascii="Calibri" w:hAnsi="Calibri"/>
                <w:b/>
                <w:color w:val="FFFFFF"/>
                <w:sz w:val="17"/>
              </w:rPr>
              <w:t>Horizonte</w:t>
            </w:r>
          </w:p>
        </w:tc>
        <w:tc>
          <w:tcPr>
            <w:tcW w:type="dxa" w:w="2493"/>
            <w:shd w:val="clear" w:fill="0056B4"/>
          </w:tcPr>
          <w:p>
            <w:pPr>
              <w:jc w:val="center"/>
            </w:pPr>
            <w:r/>
            <w:r>
              <w:rPr>
                <w:rFonts w:ascii="Calibri" w:hAnsi="Calibri"/>
                <w:b/>
                <w:color w:val="FFFFFF"/>
                <w:sz w:val="17"/>
              </w:rPr>
              <w:t>Periodo</w:t>
            </w:r>
          </w:p>
        </w:tc>
        <w:tc>
          <w:tcPr>
            <w:tcW w:type="dxa" w:w="2493"/>
            <w:shd w:val="clear" w:fill="0056B4"/>
          </w:tcPr>
          <w:p>
            <w:pPr>
              <w:jc w:val="center"/>
            </w:pPr>
            <w:r/>
            <w:r>
              <w:rPr>
                <w:rFonts w:ascii="Calibri" w:hAnsi="Calibri"/>
                <w:b/>
                <w:color w:val="FFFFFF"/>
                <w:sz w:val="17"/>
              </w:rPr>
              <w:t>Meta de cobertura</w:t>
            </w:r>
          </w:p>
        </w:tc>
        <w:tc>
          <w:tcPr>
            <w:tcW w:type="dxa" w:w="2493"/>
            <w:shd w:val="clear" w:fill="0056B4"/>
          </w:tcPr>
          <w:p>
            <w:pPr>
              <w:jc w:val="center"/>
            </w:pPr>
            <w:r/>
            <w:r>
              <w:rPr>
                <w:rFonts w:ascii="Calibri" w:hAnsi="Calibri"/>
                <w:b/>
                <w:color w:val="FFFFFF"/>
                <w:sz w:val="17"/>
              </w:rPr>
              <w:t>Areas prioritarias</w:t>
            </w:r>
          </w:p>
        </w:tc>
      </w:tr>
      <w:tr>
        <w:tc>
          <w:tcPr>
            <w:tcW w:type="dxa" w:w="2493"/>
          </w:tcPr>
          <w:p>
            <w:r/>
            <w:r>
              <w:rPr>
                <w:rFonts w:ascii="Calibri" w:hAnsi="Calibri"/>
                <w:b w:val="0"/>
                <w:sz w:val="19"/>
              </w:rPr>
              <w:t>Corto plazo</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r>
      <w:tr>
        <w:tc>
          <w:tcPr>
            <w:tcW w:type="dxa" w:w="2493"/>
          </w:tcPr>
          <w:p>
            <w:r/>
            <w:r>
              <w:rPr>
                <w:rFonts w:ascii="Calibri" w:hAnsi="Calibri"/>
                <w:b w:val="0"/>
                <w:sz w:val="19"/>
              </w:rPr>
              <w:t>Mediano plazo</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r>
      <w:tr>
        <w:tc>
          <w:tcPr>
            <w:tcW w:type="dxa" w:w="2493"/>
          </w:tcPr>
          <w:p>
            <w:r/>
            <w:r>
              <w:rPr>
                <w:rFonts w:ascii="Calibri" w:hAnsi="Calibri"/>
                <w:b w:val="0"/>
                <w:sz w:val="19"/>
              </w:rPr>
              <w:t>Largo plazo</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c>
          <w:tcPr>
            <w:tcW w:type="dxa" w:w="2493"/>
          </w:tcPr>
          <w:p>
            <w:r/>
            <w:r>
              <w:rPr>
                <w:rFonts w:ascii="Calibri" w:hAnsi="Calibri"/>
                <w:b w:val="0"/>
                <w:sz w:val="19"/>
              </w:rPr>
              <w:t>[Por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las metas numericas de cobertura por horizonte (corto, mediano y largo plazo), los periodos de cada horizonte y las areas prioritarias. No se establecen porcentajes ni fechas sin confirmacion de la Direccion.</w:t>
            </w:r>
          </w:p>
        </w:tc>
      </w:tr>
    </w:tbl>
    <w:p>
      <w:pPr>
        <w:spacing w:after="40"/>
      </w:pP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avance de cobertura se revisa como parte del seguimiento del SGC y se reporta a la Direccion. La periodicidad especifica de revision queda pendiente de definir con SolarPro.</w:t>
            </w:r>
          </w:p>
        </w:tc>
      </w:tr>
    </w:tbl>
    <w:p>
      <w:pPr>
        <w:spacing w:after="40"/>
      </w:pPr>
    </w:p>
    <w:p>
      <w:pPr>
        <w:keepNext/>
        <w:spacing w:before="280" w:after="80"/>
        <w:pBdr>
          <w:bottom w:val="single" w:sz="8" w:color="F0E528"/>
        </w:pBdr>
      </w:pPr>
      <w:r>
        <w:rPr>
          <w:rFonts w:ascii="Georgia" w:hAnsi="Georgia"/>
          <w:b/>
          <w:color w:val="0056B4"/>
          <w:sz w:val="26"/>
        </w:rPr>
        <w:t>7. Disponibilidad para operar el SGC</w:t>
      </w:r>
    </w:p>
    <w:p>
      <w:pPr>
        <w:spacing w:after="120"/>
      </w:pPr>
      <w:r>
        <w:rPr>
          <w:rFonts w:ascii="Calibri" w:hAnsi="Calibri"/>
          <w:color w:val="1C242E"/>
          <w:sz w:val="21"/>
        </w:rPr>
        <w:t>En cumplimiento de la clausula 7.1.2, la organizacion asegura la disponibilidad de personas competentes para operar y controlar los procesos del SGC. La competencia de cada posicion se define en su perfil de puesto y las brechas se cierran mediante el plan de capacitacion. Se identifican los roles clave para la operacion del SGC y se preven suplencias que mantengan la continuidad ante vacantes.</w:t>
      </w:r>
    </w:p>
    <w:p>
      <w:pPr>
        <w:pStyle w:val="ListBullet"/>
      </w:pPr>
      <w:r>
        <w:rPr>
          <w:rFonts w:ascii="Calibri" w:hAnsi="Calibri"/>
          <w:sz w:val="20"/>
        </w:rPr>
        <w:t>Los perfiles de puesto ISO definen la competencia requerida por posicion.</w:t>
      </w:r>
    </w:p>
    <w:p>
      <w:pPr>
        <w:pStyle w:val="ListBullet"/>
      </w:pPr>
      <w:r>
        <w:rPr>
          <w:rFonts w:ascii="Calibri" w:hAnsi="Calibri"/>
          <w:sz w:val="20"/>
        </w:rPr>
        <w:t>El plan de capacitacion cierra las brechas de competencia detectadas.</w:t>
      </w:r>
    </w:p>
    <w:p>
      <w:pPr>
        <w:pStyle w:val="ListBullet"/>
      </w:pPr>
      <w:r>
        <w:rPr>
          <w:rFonts w:ascii="Calibri" w:hAnsi="Calibri"/>
          <w:sz w:val="20"/>
        </w:rPr>
        <w:t>Los roles clave del SGC cuentan con responsable asignado y suplente designado.</w:t>
      </w:r>
    </w:p>
    <w:p>
      <w:pPr>
        <w:pStyle w:val="ListBullet"/>
      </w:pPr>
      <w:r>
        <w:rPr>
          <w:rFonts w:ascii="Calibri" w:hAnsi="Calibri"/>
          <w:sz w:val="20"/>
        </w:rPr>
        <w:t>Ante vacante en un puesto critico se activa la suplencia y se prioriza su cobertura en el plan.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3324"/>
            <w:shd w:val="clear" w:fill="0056B4"/>
          </w:tcPr>
          <w:p>
            <w:pPr>
              <w:jc w:val="center"/>
            </w:pPr>
            <w:r/>
            <w:r>
              <w:rPr>
                <w:rFonts w:ascii="Calibri" w:hAnsi="Calibri"/>
                <w:b/>
                <w:color w:val="FFFFFF"/>
                <w:sz w:val="17"/>
              </w:rPr>
              <w:t>Rol para operar el SGC</w:t>
            </w:r>
          </w:p>
        </w:tc>
        <w:tc>
          <w:tcPr>
            <w:tcW w:type="dxa" w:w="3324"/>
            <w:shd w:val="clear" w:fill="0056B4"/>
          </w:tcPr>
          <w:p>
            <w:pPr>
              <w:jc w:val="center"/>
            </w:pPr>
            <w:r/>
            <w:r>
              <w:rPr>
                <w:rFonts w:ascii="Calibri" w:hAnsi="Calibri"/>
                <w:b/>
                <w:color w:val="FFFFFF"/>
                <w:sz w:val="17"/>
              </w:rPr>
              <w:t>Area responsable</w:t>
            </w:r>
          </w:p>
        </w:tc>
        <w:tc>
          <w:tcPr>
            <w:tcW w:type="dxa" w:w="3324"/>
            <w:shd w:val="clear" w:fill="0056B4"/>
          </w:tcPr>
          <w:p>
            <w:pPr>
              <w:jc w:val="center"/>
            </w:pPr>
            <w:r/>
            <w:r>
              <w:rPr>
                <w:rFonts w:ascii="Calibri" w:hAnsi="Calibri"/>
                <w:b/>
                <w:color w:val="FFFFFF"/>
                <w:sz w:val="17"/>
              </w:rPr>
              <w:t>Suplente</w:t>
            </w:r>
          </w:p>
        </w:tc>
      </w:tr>
      <w:tr>
        <w:tc>
          <w:tcPr>
            <w:tcW w:type="dxa" w:w="3324"/>
          </w:tcPr>
          <w:p>
            <w:r/>
            <w:r>
              <w:rPr>
                <w:rFonts w:ascii="Calibri" w:hAnsi="Calibri"/>
                <w:b w:val="0"/>
                <w:sz w:val="19"/>
              </w:rPr>
              <w:t>Custodio del SGC</w:t>
            </w:r>
          </w:p>
        </w:tc>
        <w:tc>
          <w:tcPr>
            <w:tcW w:type="dxa" w:w="3324"/>
          </w:tcPr>
          <w:p>
            <w:r/>
            <w:r>
              <w:rPr>
                <w:rFonts w:ascii="Calibri" w:hAnsi="Calibri"/>
                <w:b w:val="0"/>
                <w:sz w:val="19"/>
              </w:rPr>
              <w:t>Gerencia Administrativa</w:t>
            </w:r>
          </w:p>
        </w:tc>
        <w:tc>
          <w:tcPr>
            <w:tcW w:type="dxa" w:w="3324"/>
          </w:tcPr>
          <w:p>
            <w:r/>
            <w:r>
              <w:rPr>
                <w:rFonts w:ascii="Calibri" w:hAnsi="Calibri"/>
                <w:b w:val="0"/>
                <w:sz w:val="19"/>
              </w:rPr>
              <w:t>[Por validar]</w:t>
            </w:r>
          </w:p>
        </w:tc>
      </w:tr>
      <w:tr>
        <w:tc>
          <w:tcPr>
            <w:tcW w:type="dxa" w:w="3324"/>
          </w:tcPr>
          <w:p>
            <w:r/>
            <w:r>
              <w:rPr>
                <w:rFonts w:ascii="Calibri" w:hAnsi="Calibri"/>
                <w:b w:val="0"/>
                <w:sz w:val="19"/>
              </w:rPr>
              <w:t>Control de documentos y registros</w:t>
            </w:r>
          </w:p>
        </w:tc>
        <w:tc>
          <w:tcPr>
            <w:tcW w:type="dxa" w:w="3324"/>
          </w:tcPr>
          <w:p>
            <w:r/>
            <w:r>
              <w:rPr>
                <w:rFonts w:ascii="Calibri" w:hAnsi="Calibri"/>
                <w:b w:val="0"/>
                <w:sz w:val="19"/>
              </w:rPr>
              <w:t>Gerencia Administrativa</w:t>
            </w:r>
          </w:p>
        </w:tc>
        <w:tc>
          <w:tcPr>
            <w:tcW w:type="dxa" w:w="3324"/>
          </w:tcPr>
          <w:p>
            <w:r/>
            <w:r>
              <w:rPr>
                <w:rFonts w:ascii="Calibri" w:hAnsi="Calibri"/>
                <w:b w:val="0"/>
                <w:sz w:val="19"/>
              </w:rPr>
              <w:t>[Por validar]</w:t>
            </w:r>
          </w:p>
        </w:tc>
      </w:tr>
      <w:tr>
        <w:tc>
          <w:tcPr>
            <w:tcW w:type="dxa" w:w="3324"/>
          </w:tcPr>
          <w:p>
            <w:r/>
            <w:r>
              <w:rPr>
                <w:rFonts w:ascii="Calibri" w:hAnsi="Calibri"/>
                <w:b w:val="0"/>
                <w:sz w:val="19"/>
              </w:rPr>
              <w:t>Coordinacion de auditorias internas (PRG-AUD-001)</w:t>
            </w:r>
          </w:p>
        </w:tc>
        <w:tc>
          <w:tcPr>
            <w:tcW w:type="dxa" w:w="3324"/>
          </w:tcPr>
          <w:p>
            <w:r/>
            <w:r>
              <w:rPr>
                <w:rFonts w:ascii="Calibri" w:hAnsi="Calibri"/>
                <w:b w:val="0"/>
                <w:sz w:val="19"/>
              </w:rPr>
              <w:t>[Por validar]</w:t>
            </w:r>
          </w:p>
        </w:tc>
        <w:tc>
          <w:tcPr>
            <w:tcW w:type="dxa" w:w="3324"/>
          </w:tcPr>
          <w:p>
            <w:r/>
            <w:r>
              <w:rPr>
                <w:rFonts w:ascii="Calibri" w:hAnsi="Calibri"/>
                <w:b w:val="0"/>
                <w:sz w:val="19"/>
              </w:rPr>
              <w:t>[Por validar]</w:t>
            </w:r>
          </w:p>
        </w:tc>
      </w:tr>
      <w:tr>
        <w:tc>
          <w:tcPr>
            <w:tcW w:type="dxa" w:w="3324"/>
          </w:tcPr>
          <w:p>
            <w:r/>
            <w:r>
              <w:rPr>
                <w:rFonts w:ascii="Calibri" w:hAnsi="Calibri"/>
                <w:b w:val="0"/>
                <w:sz w:val="19"/>
              </w:rPr>
              <w:t>Seguimiento de acciones correctivas (PRO-AC-001)</w:t>
            </w:r>
          </w:p>
        </w:tc>
        <w:tc>
          <w:tcPr>
            <w:tcW w:type="dxa" w:w="3324"/>
          </w:tcPr>
          <w:p>
            <w:r/>
            <w:r>
              <w:rPr>
                <w:rFonts w:ascii="Calibri" w:hAnsi="Calibri"/>
                <w:b w:val="0"/>
                <w:sz w:val="19"/>
              </w:rPr>
              <w:t>[Por validar]</w:t>
            </w:r>
          </w:p>
        </w:tc>
        <w:tc>
          <w:tcPr>
            <w:tcW w:type="dxa" w:w="3324"/>
          </w:tcPr>
          <w:p>
            <w:r/>
            <w:r>
              <w:rPr>
                <w:rFonts w:ascii="Calibri" w:hAnsi="Calibri"/>
                <w:b w:val="0"/>
                <w:sz w:val="19"/>
              </w:rPr>
              <w:t>[Por validar]</w:t>
            </w:r>
          </w:p>
        </w:tc>
      </w:tr>
      <w:tr>
        <w:tc>
          <w:tcPr>
            <w:tcW w:type="dxa" w:w="3324"/>
          </w:tcPr>
          <w:p>
            <w:r/>
            <w:r>
              <w:rPr>
                <w:rFonts w:ascii="Calibri" w:hAnsi="Calibri"/>
                <w:b w:val="0"/>
                <w:sz w:val="19"/>
              </w:rPr>
              <w:t>Enlace del SGC por area</w:t>
            </w:r>
          </w:p>
        </w:tc>
        <w:tc>
          <w:tcPr>
            <w:tcW w:type="dxa" w:w="3324"/>
          </w:tcPr>
          <w:p>
            <w:r/>
            <w:r>
              <w:rPr>
                <w:rFonts w:ascii="Calibri" w:hAnsi="Calibri"/>
                <w:b w:val="0"/>
                <w:sz w:val="19"/>
              </w:rPr>
              <w:t>Cada gerencia y coordinacion</w:t>
            </w:r>
          </w:p>
        </w:tc>
        <w:tc>
          <w:tcPr>
            <w:tcW w:type="dxa" w:w="3324"/>
          </w:tcPr>
          <w:p>
            <w:r/>
            <w:r>
              <w:rPr>
                <w:rFonts w:ascii="Calibri" w:hAnsi="Calibri"/>
                <w:b w:val="0"/>
                <w:sz w:val="19"/>
              </w:rPr>
              <w:t>[Por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Designar nominalmente a las personas responsables y suplentes de cada rol para operar el SGC, y confirmar el area que coordina las auditorias internas y el seguimiento de acciones correctivas.</w:t>
            </w:r>
          </w:p>
        </w:tc>
      </w:tr>
    </w:tbl>
    <w:p>
      <w:pPr>
        <w:spacing w:after="40"/>
      </w:pPr>
    </w:p>
    <w:p>
      <w:pPr>
        <w:keepNext/>
        <w:spacing w:before="280" w:after="80"/>
        <w:pBdr>
          <w:bottom w:val="single" w:sz="8" w:color="F0E528"/>
        </w:pBdr>
      </w:pPr>
      <w:r>
        <w:rPr>
          <w:rFonts w:ascii="Georgia" w:hAnsi="Georgia"/>
          <w:b/>
          <w:color w:val="0056B4"/>
          <w:sz w:val="26"/>
        </w:rPr>
        <w:t>8. Seguimiento y actualizacion</w:t>
      </w:r>
    </w:p>
    <w:p>
      <w:pPr>
        <w:pStyle w:val="ListBullet"/>
      </w:pPr>
      <w:r>
        <w:rPr>
          <w:rFonts w:ascii="Calibri" w:hAnsi="Calibri"/>
          <w:sz w:val="20"/>
        </w:rPr>
        <w:t>El plan se revisa y actualiza cuando cambia la estructura organizacional, la plantilla autorizada o las metas de cobertura.</w:t>
      </w:r>
    </w:p>
    <w:p>
      <w:pPr>
        <w:pStyle w:val="ListBullet"/>
      </w:pPr>
      <w:r>
        <w:rPr>
          <w:rFonts w:ascii="Calibri" w:hAnsi="Calibri"/>
          <w:sz w:val="20"/>
        </w:rPr>
        <w:t>Las vacantes y su avance de cobertura se reportan a la Direccion como parte del seguimiento del SGC.</w:t>
      </w:r>
    </w:p>
    <w:p>
      <w:pPr>
        <w:pStyle w:val="ListBullet"/>
      </w:pPr>
      <w:r>
        <w:rPr>
          <w:rFonts w:ascii="Calibri" w:hAnsi="Calibri"/>
          <w:sz w:val="20"/>
        </w:rPr>
        <w:t>El plan se enlaza con el proceso de reclutamiento y seleccion para atender las vacantes priorizadas.</w:t>
      </w:r>
    </w:p>
    <w:p>
      <w:pPr>
        <w:pStyle w:val="ListBullet"/>
      </w:pPr>
      <w:r>
        <w:rPr>
          <w:rFonts w:ascii="Calibri" w:hAnsi="Calibri"/>
          <w:sz w:val="20"/>
        </w:rPr>
        <w:t>Los cambios se controlan conforme a la gestion documental del SGC.</w:t>
      </w:r>
    </w:p>
    <w:p>
      <w:pPr>
        <w:keepNext/>
        <w:spacing w:before="280" w:after="80"/>
        <w:pBdr>
          <w:bottom w:val="single" w:sz="8" w:color="F0E528"/>
        </w:pBdr>
      </w:pPr>
      <w:r>
        <w:rPr>
          <w:rFonts w:ascii="Georgia" w:hAnsi="Georgia"/>
          <w:b/>
          <w:color w:val="0056B4"/>
          <w:sz w:val="26"/>
        </w:rPr>
        <w:t>9. Registros</w:t>
      </w:r>
    </w:p>
    <w:p>
      <w:pPr>
        <w:pStyle w:val="ListBullet"/>
      </w:pPr>
      <w:r>
        <w:rPr>
          <w:rFonts w:ascii="Calibri" w:hAnsi="Calibri"/>
          <w:sz w:val="20"/>
        </w:rPr>
        <w:t>Plan de Personal y Plantilla (este documento) en su version vigente.</w:t>
      </w:r>
    </w:p>
    <w:p>
      <w:pPr>
        <w:pStyle w:val="ListBullet"/>
      </w:pPr>
      <w:r>
        <w:rPr>
          <w:rFonts w:ascii="Calibri" w:hAnsi="Calibri"/>
          <w:sz w:val="20"/>
        </w:rPr>
        <w:t>Registro de vacantes por area y su prioridad de cobertura.</w:t>
      </w:r>
    </w:p>
    <w:p>
      <w:pPr>
        <w:pStyle w:val="ListBullet"/>
      </w:pPr>
      <w:r>
        <w:rPr>
          <w:rFonts w:ascii="Calibri" w:hAnsi="Calibri"/>
          <w:sz w:val="20"/>
        </w:rPr>
        <w:t>Evidencia de seguimiento del avance de cobertura reportado a la Direccion.</w:t>
      </w:r>
    </w:p>
    <w:p>
      <w:pPr>
        <w:pStyle w:val="ListBullet"/>
      </w:pPr>
      <w:r>
        <w:rPr>
          <w:rFonts w:ascii="Calibri" w:hAnsi="Calibri"/>
          <w:sz w:val="20"/>
        </w:rPr>
        <w:t>Perfiles de puesto ISO vinculados a las posiciones de la plantilla.</w:t>
      </w:r>
    </w:p>
    <w:p>
      <w:pPr>
        <w:keepNext/>
        <w:spacing w:before="280" w:after="80"/>
        <w:pBdr>
          <w:bottom w:val="single" w:sz="8" w:color="F0E528"/>
        </w:pBdr>
      </w:pPr>
      <w:r>
        <w:rPr>
          <w:rFonts w:ascii="Georgia" w:hAnsi="Georgia"/>
          <w:b/>
          <w:color w:val="0056B4"/>
          <w:sz w:val="26"/>
        </w:rPr>
        <w:t>10. Referencias</w:t>
      </w:r>
    </w:p>
    <w:p>
      <w:pPr>
        <w:pStyle w:val="ListBullet"/>
      </w:pPr>
      <w:r>
        <w:rPr>
          <w:rFonts w:ascii="Calibri" w:hAnsi="Calibri"/>
          <w:sz w:val="20"/>
        </w:rPr>
        <w:t>Manual de Calidad MC-SP-01.</w:t>
      </w:r>
    </w:p>
    <w:p>
      <w:pPr>
        <w:pStyle w:val="ListBullet"/>
      </w:pPr>
      <w:r>
        <w:rPr>
          <w:rFonts w:ascii="Calibri" w:hAnsi="Calibri"/>
          <w:sz w:val="20"/>
        </w:rPr>
        <w:t>Perfiles de puesto ISO.</w:t>
      </w:r>
    </w:p>
    <w:p>
      <w:pPr>
        <w:pStyle w:val="ListBullet"/>
      </w:pPr>
      <w:r>
        <w:rPr>
          <w:rFonts w:ascii="Calibri" w:hAnsi="Calibri"/>
          <w:sz w:val="20"/>
        </w:rPr>
        <w:t>Plan de capacitacion.</w:t>
      </w:r>
    </w:p>
    <w:p>
      <w:pPr>
        <w:pStyle w:val="ListBullet"/>
      </w:pPr>
      <w:r>
        <w:rPr>
          <w:rFonts w:ascii="Calibri" w:hAnsi="Calibri"/>
          <w:sz w:val="20"/>
        </w:rPr>
        <w:t>Politica de Calidad POL-CAL-001.</w:t>
      </w:r>
    </w:p>
    <w:p>
      <w:pPr>
        <w:pStyle w:val="ListBullet"/>
      </w:pPr>
      <w:r>
        <w:rPr>
          <w:rFonts w:ascii="Calibri" w:hAnsi="Calibri"/>
          <w:sz w:val="20"/>
        </w:rPr>
        <w:t>Plan de medicion PLA-MED-001.</w:t>
      </w:r>
    </w:p>
    <w:p>
      <w:pPr>
        <w:pStyle w:val="ListBullet"/>
      </w:pPr>
      <w:r>
        <w:rPr>
          <w:rFonts w:ascii="Calibri" w:hAnsi="Calibri"/>
          <w:sz w:val="20"/>
        </w:rPr>
        <w:t>Programa de auditoria PRG-AUD-001.</w:t>
      </w:r>
    </w:p>
    <w:p>
      <w:pPr>
        <w:pStyle w:val="ListBullet"/>
      </w:pPr>
      <w:r>
        <w:rPr>
          <w:rFonts w:ascii="Calibri" w:hAnsi="Calibri"/>
          <w:sz w:val="20"/>
        </w:rPr>
        <w:t>Procedimiento de acciones correctivas PRO-AC-001.</w:t>
      </w:r>
    </w:p>
    <w:p>
      <w:pPr>
        <w:pStyle w:val="ListBullet"/>
      </w:pPr>
      <w:r>
        <w:rPr>
          <w:rFonts w:ascii="Calibri" w:hAnsi="Calibri"/>
          <w:sz w:val="20"/>
        </w:rPr>
        <w:t>ISO 9001:2015, clausula 7.1.2 Personas.</w:t>
      </w:r>
    </w:p>
    <w:p>
      <w:pPr>
        <w:pStyle w:val="ListBullet"/>
      </w:pPr>
      <w:r>
        <w:rPr>
          <w:rFonts w:ascii="Calibri" w:hAnsi="Calibri"/>
          <w:sz w:val="20"/>
        </w:rPr>
        <w:t>Disposiciones normativas aplicables en materia laboral y de seguridad e higiene, en su version vigente.</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Plan de Personal y Plantilla · PLA-PER-001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