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Plan de Seguimiento y Medición</w:t>
      </w:r>
    </w:p>
    <w:p>
      <w:pPr>
        <w:jc w:val="center"/>
      </w:pPr>
      <w:r>
        <w:rPr>
          <w:color w:val="F0E528"/>
          <w:sz w:val="24"/>
        </w:rPr>
        <w:t>________</w:t>
      </w:r>
    </w:p>
    <w:p>
      <w:pPr>
        <w:jc w:val="center"/>
      </w:pPr>
      <w:r>
        <w:rPr>
          <w:rFonts w:ascii="Georgia" w:hAnsi="Georgia"/>
          <w:i/>
          <w:color w:val="595959"/>
          <w:sz w:val="26"/>
        </w:rPr>
        <w:t>SolarPro · Sistema de Gestión de Calidad ISO 9001:2015 · Indicadores (KPIs)</w:t>
      </w:r>
    </w:p>
    <w:p>
      <w:pPr>
        <w:spacing w:before="600"/>
        <w:jc w:val="center"/>
      </w:pPr>
      <w:r>
        <w:rPr>
          <w:b/>
          <w:color w:val="1C242E"/>
          <w:sz w:val="22"/>
        </w:rPr>
        <w:t>Soluciones Energéticas JEA S.A. de C.V. (SolarPro)</w:t>
      </w:r>
    </w:p>
    <w:p>
      <w:pPr>
        <w:jc w:val="center"/>
      </w:pPr>
      <w:r>
        <w:rPr>
          <w:color w:val="595959"/>
          <w:sz w:val="20"/>
        </w:rPr>
        <w:t>PLA-MED-001  ·  Versión 1  ·  08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PLA-MED-001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08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08 de septiembre de 2026</w:t>
            </w:r>
          </w:p>
        </w:tc>
        <w:tc>
          <w:tcPr>
            <w:tcW w:type="dxa" w:w="5584"/>
          </w:tcPr>
          <w:p>
            <w:r/>
            <w:r>
              <w:rPr>
                <w:rFonts w:ascii="Calibri" w:hAnsi="Calibri"/>
                <w:b w:val="0"/>
                <w:sz w:val="19"/>
              </w:rPr>
              <w:t>Emisión inicial del Plan de Seguimiento y Medición, derivado de las cláusulas 9.1 y 6.2 del Manual de Calidad MC-SP-01.</w:t>
            </w:r>
          </w:p>
        </w:tc>
        <w:tc>
          <w:tcPr>
            <w:tcW w:type="dxa" w:w="1596"/>
          </w:tcPr>
          <w:p>
            <w:r/>
            <w:r>
              <w:rPr>
                <w:rFonts w:ascii="Calibri" w:hAnsi="Calibri"/>
                <w:b w:val="0"/>
                <w:sz w:val="19"/>
              </w:rPr>
              <w:t>DETA Consultores</w:t>
            </w:r>
          </w:p>
        </w:tc>
      </w:tr>
    </w:tbl>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1. Objeto y alcance</w:t>
      </w:r>
    </w:p>
    <w:p>
      <w:pPr>
        <w:spacing w:after="40"/>
      </w:pPr>
      <w:r>
        <w:rPr>
          <w:rFonts w:ascii="Calibri" w:hAnsi="Calibri"/>
          <w:color w:val="1C242E"/>
          <w:sz w:val="20"/>
        </w:rPr>
        <w:t>2. Responsabilidades</w:t>
      </w:r>
    </w:p>
    <w:p>
      <w:pPr>
        <w:spacing w:after="40"/>
      </w:pPr>
      <w:r>
        <w:rPr>
          <w:rFonts w:ascii="Calibri" w:hAnsi="Calibri"/>
          <w:color w:val="1C242E"/>
          <w:sz w:val="20"/>
        </w:rPr>
        <w:t>3. Tablero de indicadores (KPIs)</w:t>
      </w:r>
    </w:p>
    <w:p>
      <w:pPr>
        <w:spacing w:after="40"/>
      </w:pPr>
      <w:r>
        <w:rPr>
          <w:rFonts w:ascii="Calibri" w:hAnsi="Calibri"/>
          <w:color w:val="1C242E"/>
          <w:sz w:val="20"/>
        </w:rPr>
        <w:t>4. Fuentes de dato y método de recolección</w:t>
      </w:r>
    </w:p>
    <w:p>
      <w:pPr>
        <w:spacing w:after="40"/>
      </w:pPr>
      <w:r>
        <w:rPr>
          <w:rFonts w:ascii="Calibri" w:hAnsi="Calibri"/>
          <w:color w:val="1C242E"/>
          <w:sz w:val="20"/>
        </w:rPr>
        <w:t>5. Análisis y evaluación del desempeño (9.1.3)</w:t>
      </w:r>
    </w:p>
    <w:p>
      <w:pPr>
        <w:spacing w:after="40"/>
      </w:pPr>
      <w:r>
        <w:rPr>
          <w:rFonts w:ascii="Calibri" w:hAnsi="Calibri"/>
          <w:color w:val="1C242E"/>
          <w:sz w:val="20"/>
        </w:rPr>
        <w:t>6. Junta de resultados y revisión por la dirección</w:t>
      </w:r>
    </w:p>
    <w:p>
      <w:pPr>
        <w:spacing w:after="40"/>
      </w:pPr>
      <w:r>
        <w:rPr>
          <w:rFonts w:ascii="Calibri" w:hAnsi="Calibri"/>
          <w:color w:val="1C242E"/>
          <w:sz w:val="20"/>
        </w:rPr>
        <w:t>7. Reporte de Desempeño periódico (plantilla)</w:t>
      </w:r>
    </w:p>
    <w:p>
      <w:pPr>
        <w:spacing w:after="40"/>
      </w:pPr>
      <w:r>
        <w:rPr>
          <w:rFonts w:ascii="Calibri" w:hAnsi="Calibri"/>
          <w:color w:val="1C242E"/>
          <w:sz w:val="20"/>
        </w:rPr>
        <w:t>8. Control de la información documentada</w:t>
      </w:r>
    </w:p>
    <w:p>
      <w:r>
        <w:br w:type="page"/>
      </w:r>
    </w:p>
    <w:p>
      <w:pPr>
        <w:keepNext/>
        <w:spacing w:before="280" w:after="80"/>
        <w:pBdr>
          <w:bottom w:val="single" w:sz="8" w:color="F0E528"/>
        </w:pBdr>
      </w:pPr>
      <w:r>
        <w:rPr>
          <w:rFonts w:ascii="Georgia" w:hAnsi="Georgia"/>
          <w:b/>
          <w:color w:val="0056B4"/>
          <w:sz w:val="26"/>
        </w:rPr>
        <w:t>1. Objeto y alcance</w:t>
      </w:r>
    </w:p>
    <w:p>
      <w:pPr>
        <w:spacing w:after="120"/>
      </w:pPr>
      <w:r>
        <w:rPr>
          <w:rFonts w:ascii="Calibri" w:hAnsi="Calibri"/>
          <w:color w:val="1C242E"/>
          <w:sz w:val="21"/>
        </w:rPr>
        <w:t>Este Plan de Seguimiento y Medición establece qué mide SolarPro para evaluar el desempeño y la eficacia de su Sistema de Gestión de Calidad (SGC) conforme a la cláusula 9.1 de la norma ISO 9001:2015. Define, para cada indicador, qué se mide, con qué fórmula, cuál es la meta, con qué frecuencia se mide, de qué fuente se toma el dato y quién es el responsable; y establece cómo se analizan e interpretan los resultados y en qué junta se revisan.</w:t>
      </w:r>
    </w:p>
    <w:p>
      <w:pPr>
        <w:spacing w:after="120"/>
      </w:pPr>
      <w:r>
        <w:rPr>
          <w:rFonts w:ascii="Calibri" w:hAnsi="Calibri"/>
          <w:color w:val="1C242E"/>
          <w:sz w:val="21"/>
        </w:rPr>
        <w:t>Aplica a todo el ciclo del servicio (comercial, ingeniería, instalación, encendido y postventa), en la matriz de Chihuahua y en la operación de Ciudad Juárez. El indicador principal del SGC es la satisfacción del cliente, con una meta igual o mayor al 90 por ciento, definida en la sección 6.2 del Manual de Calidad MC-SP-01.</w:t>
      </w:r>
    </w:p>
    <w:p>
      <w:pPr>
        <w:spacing w:after="120"/>
      </w:pPr>
      <w:r>
        <w:rPr>
          <w:rFonts w:ascii="Calibri" w:hAnsi="Calibri"/>
          <w:color w:val="1C242E"/>
          <w:sz w:val="21"/>
        </w:rPr>
        <w:t>El propósito del plan es doble: verificar el cumplimiento de las metas de calidad y, sobre todo, interpretar los resultados para tomar decisiones de mejora, no solo registrar números.</w:t>
      </w:r>
    </w:p>
    <w:p>
      <w:pPr>
        <w:keepNext/>
        <w:spacing w:before="280" w:after="80"/>
        <w:pBdr>
          <w:bottom w:val="single" w:sz="8" w:color="F0E528"/>
        </w:pBdr>
      </w:pPr>
      <w:r>
        <w:rPr>
          <w:rFonts w:ascii="Georgia" w:hAnsi="Georgia"/>
          <w:b/>
          <w:color w:val="0056B4"/>
          <w:sz w:val="26"/>
        </w:rPr>
        <w:t>2. Responsabilidades</w:t>
      </w:r>
    </w:p>
    <w:p>
      <w:pPr>
        <w:spacing w:after="120"/>
      </w:pPr>
      <w:r>
        <w:rPr>
          <w:rFonts w:ascii="Calibri" w:hAnsi="Calibri"/>
          <w:color w:val="1C242E"/>
          <w:sz w:val="21"/>
        </w:rPr>
        <w:t>SolarPro no cuenta con un puesto formal de Calidad; las funciones de seguimiento y medición se reparten entre los puestos actuales. Cada responsable calcula su indicador con la frecuencia definida, lo registra en el Reporte de Desempeño y lo interpreta. La Gerencia Administrativa consolida el reporte y el Comité de Calidad lo revisa.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Rol</w:t>
            </w:r>
          </w:p>
        </w:tc>
        <w:tc>
          <w:tcPr>
            <w:tcW w:type="dxa" w:w="6980"/>
            <w:shd w:val="clear" w:fill="0056B4"/>
          </w:tcPr>
          <w:p>
            <w:pPr>
              <w:jc w:val="center"/>
            </w:pPr>
            <w:r/>
            <w:r>
              <w:rPr>
                <w:rFonts w:ascii="Calibri" w:hAnsi="Calibri"/>
                <w:b/>
                <w:color w:val="FFFFFF"/>
                <w:sz w:val="17"/>
              </w:rPr>
              <w:t>Responsabilidad en el seguimiento y la medición</w:t>
            </w:r>
          </w:p>
        </w:tc>
      </w:tr>
      <w:tr>
        <w:tc>
          <w:tcPr>
            <w:tcW w:type="dxa" w:w="2992"/>
          </w:tcPr>
          <w:p>
            <w:r/>
            <w:r>
              <w:rPr>
                <w:rFonts w:ascii="Calibri" w:hAnsi="Calibri"/>
                <w:b w:val="0"/>
                <w:sz w:val="19"/>
              </w:rPr>
              <w:t>Dirección General (Comité de Calidad)</w:t>
            </w:r>
          </w:p>
        </w:tc>
        <w:tc>
          <w:tcPr>
            <w:tcW w:type="dxa" w:w="6980"/>
          </w:tcPr>
          <w:p>
            <w:r/>
            <w:r>
              <w:rPr>
                <w:rFonts w:ascii="Calibri" w:hAnsi="Calibri"/>
                <w:b w:val="0"/>
                <w:sz w:val="19"/>
              </w:rPr>
              <w:t>Aprobar las metas y la línea base de cada indicador; revisar el desempeño en la revisión por la dirección; decidir acciones, cambios y recursos.</w:t>
            </w:r>
          </w:p>
        </w:tc>
      </w:tr>
      <w:tr>
        <w:tc>
          <w:tcPr>
            <w:tcW w:type="dxa" w:w="2992"/>
          </w:tcPr>
          <w:p>
            <w:r/>
            <w:r>
              <w:rPr>
                <w:rFonts w:ascii="Calibri" w:hAnsi="Calibri"/>
                <w:b w:val="0"/>
                <w:sz w:val="19"/>
              </w:rPr>
              <w:t>Gerencia Administrativa</w:t>
            </w:r>
          </w:p>
        </w:tc>
        <w:tc>
          <w:tcPr>
            <w:tcW w:type="dxa" w:w="6980"/>
          </w:tcPr>
          <w:p>
            <w:r/>
            <w:r>
              <w:rPr>
                <w:rFonts w:ascii="Calibri" w:hAnsi="Calibri"/>
                <w:b w:val="0"/>
                <w:sz w:val="19"/>
              </w:rPr>
              <w:t>Coordinar el SGC y custodiar este plan; consolidar el Reporte de Desempeño; dar seguimiento a las no conformidades y a las acciones correctivas.</w:t>
            </w:r>
          </w:p>
        </w:tc>
      </w:tr>
      <w:tr>
        <w:tc>
          <w:tcPr>
            <w:tcW w:type="dxa" w:w="2992"/>
          </w:tcPr>
          <w:p>
            <w:r/>
            <w:r>
              <w:rPr>
                <w:rFonts w:ascii="Calibri" w:hAnsi="Calibri"/>
                <w:b w:val="0"/>
                <w:sz w:val="19"/>
              </w:rPr>
              <w:t>Coordinación Comercial</w:t>
            </w:r>
          </w:p>
        </w:tc>
        <w:tc>
          <w:tcPr>
            <w:tcW w:type="dxa" w:w="6980"/>
          </w:tcPr>
          <w:p>
            <w:r/>
            <w:r>
              <w:rPr>
                <w:rFonts w:ascii="Calibri" w:hAnsi="Calibri"/>
                <w:b w:val="0"/>
                <w:sz w:val="19"/>
              </w:rPr>
              <w:t>Medir y reportar el tiempo de respuesta comercial y el registro de la fecha comprometida con el cliente.</w:t>
            </w:r>
          </w:p>
        </w:tc>
      </w:tr>
      <w:tr>
        <w:tc>
          <w:tcPr>
            <w:tcW w:type="dxa" w:w="2992"/>
          </w:tcPr>
          <w:p>
            <w:r/>
            <w:r>
              <w:rPr>
                <w:rFonts w:ascii="Calibri" w:hAnsi="Calibri"/>
                <w:b w:val="0"/>
                <w:sz w:val="19"/>
              </w:rPr>
              <w:t>Coordinación de Ingeniería</w:t>
            </w:r>
          </w:p>
        </w:tc>
        <w:tc>
          <w:tcPr>
            <w:tcW w:type="dxa" w:w="6980"/>
          </w:tcPr>
          <w:p>
            <w:r/>
            <w:r>
              <w:rPr>
                <w:rFonts w:ascii="Calibri" w:hAnsi="Calibri"/>
                <w:b w:val="0"/>
                <w:sz w:val="19"/>
              </w:rPr>
              <w:t>Medir y reportar el cumplimiento de la entrega a tiempo de las instalaciones a partir del acta de encendido.</w:t>
            </w:r>
          </w:p>
        </w:tc>
      </w:tr>
      <w:tr>
        <w:tc>
          <w:tcPr>
            <w:tcW w:type="dxa" w:w="2992"/>
          </w:tcPr>
          <w:p>
            <w:r/>
            <w:r>
              <w:rPr>
                <w:rFonts w:ascii="Calibri" w:hAnsi="Calibri"/>
                <w:b w:val="0"/>
                <w:sz w:val="19"/>
              </w:rPr>
              <w:t>Coordinación de Postventa</w:t>
            </w:r>
          </w:p>
        </w:tc>
        <w:tc>
          <w:tcPr>
            <w:tcW w:type="dxa" w:w="6980"/>
          </w:tcPr>
          <w:p>
            <w:r/>
            <w:r>
              <w:rPr>
                <w:rFonts w:ascii="Calibri" w:hAnsi="Calibri"/>
                <w:b w:val="0"/>
                <w:sz w:val="19"/>
              </w:rPr>
              <w:t>Medir y reportar la satisfacción del cliente, el tiempo de respuesta de postventa, el retrabajo o callbacks en postventa y el desempeño del sistema (generación real contra la prometida).</w:t>
            </w:r>
          </w:p>
        </w:tc>
      </w:tr>
    </w:tbl>
    <w:p>
      <w:pPr>
        <w:keepNext/>
        <w:spacing w:before="280" w:after="80"/>
        <w:pBdr>
          <w:bottom w:val="single" w:sz="8" w:color="F0E528"/>
        </w:pBdr>
      </w:pPr>
      <w:r>
        <w:rPr>
          <w:rFonts w:ascii="Georgia" w:hAnsi="Georgia"/>
          <w:b/>
          <w:color w:val="0056B4"/>
          <w:sz w:val="26"/>
        </w:rPr>
        <w:t>3. Tablero de indicadores (KPIs)</w:t>
      </w:r>
    </w:p>
    <w:p>
      <w:pPr>
        <w:spacing w:after="120"/>
      </w:pPr>
      <w:r>
        <w:rPr>
          <w:rFonts w:ascii="Calibri" w:hAnsi="Calibri"/>
          <w:color w:val="1C242E"/>
          <w:sz w:val="21"/>
        </w:rPr>
        <w:t>El tablero reúne el conjunto acotado de indicadores que SolarPro mide hoy. Cubre el mínimo del SGC: tiempos de respuesta, cumplimiento de la fecha comprometida, fallas en postventa y no conformidades, además de la satisfacción del cliente. Cada indicador se toma de una fuente de dato ya existente en la operación, para que la medición no dependa de registros nuevos.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662"/>
        <w:gridCol w:w="1662"/>
        <w:gridCol w:w="1662"/>
        <w:gridCol w:w="1662"/>
        <w:gridCol w:w="1662"/>
        <w:gridCol w:w="1662"/>
      </w:tblGrid>
      <w:tr>
        <w:tc>
          <w:tcPr>
            <w:tcW w:type="dxa" w:w="1596"/>
            <w:shd w:val="clear" w:fill="0056B4"/>
          </w:tcPr>
          <w:p>
            <w:pPr>
              <w:jc w:val="center"/>
            </w:pPr>
            <w:r/>
            <w:r>
              <w:rPr>
                <w:rFonts w:ascii="Calibri" w:hAnsi="Calibri"/>
                <w:b/>
                <w:color w:val="FFFFFF"/>
                <w:sz w:val="17"/>
              </w:rPr>
              <w:t>Indicador</w:t>
            </w:r>
          </w:p>
        </w:tc>
        <w:tc>
          <w:tcPr>
            <w:tcW w:type="dxa" w:w="2692"/>
            <w:shd w:val="clear" w:fill="0056B4"/>
          </w:tcPr>
          <w:p>
            <w:pPr>
              <w:jc w:val="center"/>
            </w:pPr>
            <w:r/>
            <w:r>
              <w:rPr>
                <w:rFonts w:ascii="Calibri" w:hAnsi="Calibri"/>
                <w:b/>
                <w:color w:val="FFFFFF"/>
                <w:sz w:val="17"/>
              </w:rPr>
              <w:t>Formula</w:t>
            </w:r>
          </w:p>
        </w:tc>
        <w:tc>
          <w:tcPr>
            <w:tcW w:type="dxa" w:w="1296"/>
            <w:shd w:val="clear" w:fill="0056B4"/>
          </w:tcPr>
          <w:p>
            <w:pPr>
              <w:jc w:val="center"/>
            </w:pPr>
            <w:r/>
            <w:r>
              <w:rPr>
                <w:rFonts w:ascii="Calibri" w:hAnsi="Calibri"/>
                <w:b/>
                <w:color w:val="FFFFFF"/>
                <w:sz w:val="17"/>
              </w:rPr>
              <w:t>Meta</w:t>
            </w:r>
          </w:p>
        </w:tc>
        <w:tc>
          <w:tcPr>
            <w:tcW w:type="dxa" w:w="1097"/>
            <w:shd w:val="clear" w:fill="0056B4"/>
          </w:tcPr>
          <w:p>
            <w:pPr>
              <w:jc w:val="center"/>
            </w:pPr>
            <w:r/>
            <w:r>
              <w:rPr>
                <w:rFonts w:ascii="Calibri" w:hAnsi="Calibri"/>
                <w:b/>
                <w:color w:val="FFFFFF"/>
                <w:sz w:val="17"/>
              </w:rPr>
              <w:t>Frecuencia</w:t>
            </w:r>
          </w:p>
        </w:tc>
        <w:tc>
          <w:tcPr>
            <w:tcW w:type="dxa" w:w="1895"/>
            <w:shd w:val="clear" w:fill="0056B4"/>
          </w:tcPr>
          <w:p>
            <w:pPr>
              <w:jc w:val="center"/>
            </w:pPr>
            <w:r/>
            <w:r>
              <w:rPr>
                <w:rFonts w:ascii="Calibri" w:hAnsi="Calibri"/>
                <w:b/>
                <w:color w:val="FFFFFF"/>
                <w:sz w:val="17"/>
              </w:rPr>
              <w:t>Fuente de dato</w:t>
            </w:r>
          </w:p>
        </w:tc>
        <w:tc>
          <w:tcPr>
            <w:tcW w:type="dxa" w:w="1396"/>
            <w:shd w:val="clear" w:fill="0056B4"/>
          </w:tcPr>
          <w:p>
            <w:pPr>
              <w:jc w:val="center"/>
            </w:pPr>
            <w:r/>
            <w:r>
              <w:rPr>
                <w:rFonts w:ascii="Calibri" w:hAnsi="Calibri"/>
                <w:b/>
                <w:color w:val="FFFFFF"/>
                <w:sz w:val="17"/>
              </w:rPr>
              <w:t>Responsable</w:t>
            </w:r>
          </w:p>
        </w:tc>
      </w:tr>
      <w:tr>
        <w:tc>
          <w:tcPr>
            <w:tcW w:type="dxa" w:w="1596"/>
          </w:tcPr>
          <w:p>
            <w:r/>
            <w:r>
              <w:rPr>
                <w:rFonts w:ascii="Calibri" w:hAnsi="Calibri"/>
                <w:b w:val="0"/>
                <w:sz w:val="19"/>
              </w:rPr>
              <w:t>Satisfacción del cliente</w:t>
            </w:r>
          </w:p>
        </w:tc>
        <w:tc>
          <w:tcPr>
            <w:tcW w:type="dxa" w:w="2692"/>
          </w:tcPr>
          <w:p>
            <w:r/>
            <w:r>
              <w:rPr>
                <w:rFonts w:ascii="Calibri" w:hAnsi="Calibri"/>
                <w:b w:val="0"/>
                <w:sz w:val="19"/>
              </w:rPr>
              <w:t>Promedio de la calificación de la encuesta de postventa del periodo, expresado en porcentaje.</w:t>
            </w:r>
          </w:p>
        </w:tc>
        <w:tc>
          <w:tcPr>
            <w:tcW w:type="dxa" w:w="1296"/>
          </w:tcPr>
          <w:p>
            <w:r/>
            <w:r>
              <w:rPr>
                <w:rFonts w:ascii="Calibri" w:hAnsi="Calibri"/>
                <w:b w:val="0"/>
                <w:sz w:val="19"/>
              </w:rPr>
              <w:t>Igual o mayor al 90 por ciento</w:t>
            </w:r>
          </w:p>
        </w:tc>
        <w:tc>
          <w:tcPr>
            <w:tcW w:type="dxa" w:w="1097"/>
          </w:tcPr>
          <w:p>
            <w:r/>
            <w:r>
              <w:rPr>
                <w:rFonts w:ascii="Calibri" w:hAnsi="Calibri"/>
                <w:b w:val="0"/>
                <w:sz w:val="19"/>
              </w:rPr>
              <w:t>Mensual; se revisa cada trimestre en el Comité de Calidad</w:t>
            </w:r>
          </w:p>
        </w:tc>
        <w:tc>
          <w:tcPr>
            <w:tcW w:type="dxa" w:w="1895"/>
          </w:tcPr>
          <w:p>
            <w:r/>
            <w:r>
              <w:rPr>
                <w:rFonts w:ascii="Calibri" w:hAnsi="Calibri"/>
                <w:b w:val="0"/>
                <w:sz w:val="19"/>
              </w:rPr>
              <w:t>Encuesta de postventa, concentrada en Trello</w:t>
            </w:r>
          </w:p>
        </w:tc>
        <w:tc>
          <w:tcPr>
            <w:tcW w:type="dxa" w:w="1396"/>
          </w:tcPr>
          <w:p>
            <w:r/>
            <w:r>
              <w:rPr>
                <w:rFonts w:ascii="Calibri" w:hAnsi="Calibri"/>
                <w:b w:val="0"/>
                <w:sz w:val="19"/>
              </w:rPr>
              <w:t>Coordinación de Postventa</w:t>
            </w:r>
          </w:p>
        </w:tc>
      </w:tr>
      <w:tr>
        <w:tc>
          <w:tcPr>
            <w:tcW w:type="dxa" w:w="1596"/>
          </w:tcPr>
          <w:p>
            <w:r/>
            <w:r>
              <w:rPr>
                <w:rFonts w:ascii="Calibri" w:hAnsi="Calibri"/>
                <w:b w:val="0"/>
                <w:sz w:val="19"/>
              </w:rPr>
              <w:t>Cumplimiento de la fecha comprometida (instalaciones a tiempo)</w:t>
            </w:r>
          </w:p>
        </w:tc>
        <w:tc>
          <w:tcPr>
            <w:tcW w:type="dxa" w:w="2692"/>
          </w:tcPr>
          <w:p>
            <w:r/>
            <w:r>
              <w:rPr>
                <w:rFonts w:ascii="Calibri" w:hAnsi="Calibri"/>
                <w:b w:val="0"/>
                <w:sz w:val="19"/>
              </w:rPr>
              <w:t>(Instalaciones entregadas en o antes de la fecha comprometida / total de instalaciones entregadas en el periodo) x 100.</w:t>
            </w:r>
          </w:p>
        </w:tc>
        <w:tc>
          <w:tcPr>
            <w:tcW w:type="dxa" w:w="1296"/>
          </w:tcPr>
          <w:p>
            <w:r/>
            <w:r>
              <w:rPr>
                <w:rFonts w:ascii="Calibri" w:hAnsi="Calibri"/>
                <w:b w:val="0"/>
                <w:sz w:val="19"/>
              </w:rPr>
              <w:t>[por definir con la Dirección]</w:t>
            </w:r>
          </w:p>
        </w:tc>
        <w:tc>
          <w:tcPr>
            <w:tcW w:type="dxa" w:w="1097"/>
          </w:tcPr>
          <w:p>
            <w:r/>
            <w:r>
              <w:rPr>
                <w:rFonts w:ascii="Calibri" w:hAnsi="Calibri"/>
                <w:b w:val="0"/>
                <w:sz w:val="19"/>
              </w:rPr>
              <w:t>Mensual</w:t>
            </w:r>
          </w:p>
        </w:tc>
        <w:tc>
          <w:tcPr>
            <w:tcW w:type="dxa" w:w="1895"/>
          </w:tcPr>
          <w:p>
            <w:r/>
            <w:r>
              <w:rPr>
                <w:rFonts w:ascii="Calibri" w:hAnsi="Calibri"/>
                <w:b w:val="0"/>
                <w:sz w:val="19"/>
              </w:rPr>
              <w:t>Tarjeta del proyecto en Trello: fecha comprometida contra fecha del acta de encendido</w:t>
            </w:r>
          </w:p>
        </w:tc>
        <w:tc>
          <w:tcPr>
            <w:tcW w:type="dxa" w:w="1396"/>
          </w:tcPr>
          <w:p>
            <w:r/>
            <w:r>
              <w:rPr>
                <w:rFonts w:ascii="Calibri" w:hAnsi="Calibri"/>
                <w:b w:val="0"/>
                <w:sz w:val="19"/>
              </w:rPr>
              <w:t>Coordinación de Ingeniería</w:t>
            </w:r>
          </w:p>
        </w:tc>
      </w:tr>
      <w:tr>
        <w:tc>
          <w:tcPr>
            <w:tcW w:type="dxa" w:w="1596"/>
          </w:tcPr>
          <w:p>
            <w:r/>
            <w:r>
              <w:rPr>
                <w:rFonts w:ascii="Calibri" w:hAnsi="Calibri"/>
                <w:b w:val="0"/>
                <w:sz w:val="19"/>
              </w:rPr>
              <w:t>Tiempo de respuesta comercial</w:t>
            </w:r>
          </w:p>
        </w:tc>
        <w:tc>
          <w:tcPr>
            <w:tcW w:type="dxa" w:w="2692"/>
          </w:tcPr>
          <w:p>
            <w:r/>
            <w:r>
              <w:rPr>
                <w:rFonts w:ascii="Calibri" w:hAnsi="Calibri"/>
                <w:b w:val="0"/>
                <w:sz w:val="19"/>
              </w:rPr>
              <w:t>Promedio de días hábiles entre la solicitud del cliente y la entrega de la cotización.</w:t>
            </w:r>
          </w:p>
        </w:tc>
        <w:tc>
          <w:tcPr>
            <w:tcW w:type="dxa" w:w="1296"/>
          </w:tcPr>
          <w:p>
            <w:r/>
            <w:r>
              <w:rPr>
                <w:rFonts w:ascii="Calibri" w:hAnsi="Calibri"/>
                <w:b w:val="0"/>
                <w:sz w:val="19"/>
              </w:rPr>
              <w:t>[por definir con la Dirección]</w:t>
            </w:r>
          </w:p>
        </w:tc>
        <w:tc>
          <w:tcPr>
            <w:tcW w:type="dxa" w:w="1097"/>
          </w:tcPr>
          <w:p>
            <w:r/>
            <w:r>
              <w:rPr>
                <w:rFonts w:ascii="Calibri" w:hAnsi="Calibri"/>
                <w:b w:val="0"/>
                <w:sz w:val="19"/>
              </w:rPr>
              <w:t>Mensual</w:t>
            </w:r>
          </w:p>
        </w:tc>
        <w:tc>
          <w:tcPr>
            <w:tcW w:type="dxa" w:w="1895"/>
          </w:tcPr>
          <w:p>
            <w:r/>
            <w:r>
              <w:rPr>
                <w:rFonts w:ascii="Calibri" w:hAnsi="Calibri"/>
                <w:b w:val="0"/>
                <w:sz w:val="19"/>
              </w:rPr>
              <w:t>Registro de la solicitud y de la cotización en Control Sun y Trello</w:t>
            </w:r>
          </w:p>
        </w:tc>
        <w:tc>
          <w:tcPr>
            <w:tcW w:type="dxa" w:w="1396"/>
          </w:tcPr>
          <w:p>
            <w:r/>
            <w:r>
              <w:rPr>
                <w:rFonts w:ascii="Calibri" w:hAnsi="Calibri"/>
                <w:b w:val="0"/>
                <w:sz w:val="19"/>
              </w:rPr>
              <w:t>Coordinación Comercial</w:t>
            </w:r>
          </w:p>
        </w:tc>
      </w:tr>
      <w:tr>
        <w:tc>
          <w:tcPr>
            <w:tcW w:type="dxa" w:w="1596"/>
          </w:tcPr>
          <w:p>
            <w:r/>
            <w:r>
              <w:rPr>
                <w:rFonts w:ascii="Calibri" w:hAnsi="Calibri"/>
                <w:b w:val="0"/>
                <w:sz w:val="19"/>
              </w:rPr>
              <w:t>Tiempo de respuesta de postventa</w:t>
            </w:r>
          </w:p>
        </w:tc>
        <w:tc>
          <w:tcPr>
            <w:tcW w:type="dxa" w:w="2692"/>
          </w:tcPr>
          <w:p>
            <w:r/>
            <w:r>
              <w:rPr>
                <w:rFonts w:ascii="Calibri" w:hAnsi="Calibri"/>
                <w:b w:val="0"/>
                <w:sz w:val="19"/>
              </w:rPr>
              <w:t>Promedio de días entre la apertura del ticket de postventa y su primera atención.</w:t>
            </w:r>
          </w:p>
        </w:tc>
        <w:tc>
          <w:tcPr>
            <w:tcW w:type="dxa" w:w="1296"/>
          </w:tcPr>
          <w:p>
            <w:r/>
            <w:r>
              <w:rPr>
                <w:rFonts w:ascii="Calibri" w:hAnsi="Calibri"/>
                <w:b w:val="0"/>
                <w:sz w:val="19"/>
              </w:rPr>
              <w:t>[por definir con la Dirección]</w:t>
            </w:r>
          </w:p>
        </w:tc>
        <w:tc>
          <w:tcPr>
            <w:tcW w:type="dxa" w:w="1097"/>
          </w:tcPr>
          <w:p>
            <w:r/>
            <w:r>
              <w:rPr>
                <w:rFonts w:ascii="Calibri" w:hAnsi="Calibri"/>
                <w:b w:val="0"/>
                <w:sz w:val="19"/>
              </w:rPr>
              <w:t>Mensual</w:t>
            </w:r>
          </w:p>
        </w:tc>
        <w:tc>
          <w:tcPr>
            <w:tcW w:type="dxa" w:w="1895"/>
          </w:tcPr>
          <w:p>
            <w:r/>
            <w:r>
              <w:rPr>
                <w:rFonts w:ascii="Calibri" w:hAnsi="Calibri"/>
                <w:b w:val="0"/>
                <w:sz w:val="19"/>
              </w:rPr>
              <w:t>Ticket o folio de postventa en Trello</w:t>
            </w:r>
          </w:p>
        </w:tc>
        <w:tc>
          <w:tcPr>
            <w:tcW w:type="dxa" w:w="1396"/>
          </w:tcPr>
          <w:p>
            <w:r/>
            <w:r>
              <w:rPr>
                <w:rFonts w:ascii="Calibri" w:hAnsi="Calibri"/>
                <w:b w:val="0"/>
                <w:sz w:val="19"/>
              </w:rPr>
              <w:t>Coordinación de Postventa</w:t>
            </w:r>
          </w:p>
        </w:tc>
      </w:tr>
      <w:tr>
        <w:tc>
          <w:tcPr>
            <w:tcW w:type="dxa" w:w="1596"/>
          </w:tcPr>
          <w:p>
            <w:r/>
            <w:r>
              <w:rPr>
                <w:rFonts w:ascii="Calibri" w:hAnsi="Calibri"/>
                <w:b w:val="0"/>
                <w:sz w:val="19"/>
              </w:rPr>
              <w:t>Retrabajo o callbacks en postventa</w:t>
            </w:r>
          </w:p>
        </w:tc>
        <w:tc>
          <w:tcPr>
            <w:tcW w:type="dxa" w:w="2692"/>
          </w:tcPr>
          <w:p>
            <w:r/>
            <w:r>
              <w:rPr>
                <w:rFonts w:ascii="Calibri" w:hAnsi="Calibri"/>
                <w:b w:val="0"/>
                <w:sz w:val="19"/>
              </w:rPr>
              <w:t>(Número de retrabajos o callbacks de postventa en el periodo / total de instalaciones entregadas en el periodo) x 100; se acompaña del conteo y la tendencia. Corresponde al objetivo 6.2 'Tasa de retrabajo o callbacks' del Manual de Calidad MC-SP-01.</w:t>
            </w:r>
          </w:p>
        </w:tc>
        <w:tc>
          <w:tcPr>
            <w:tcW w:type="dxa" w:w="1296"/>
          </w:tcPr>
          <w:p>
            <w:r/>
            <w:r>
              <w:rPr>
                <w:rFonts w:ascii="Calibri" w:hAnsi="Calibri"/>
                <w:b w:val="0"/>
                <w:sz w:val="19"/>
              </w:rPr>
              <w:t>[por definir con la Dirección]</w:t>
            </w:r>
          </w:p>
        </w:tc>
        <w:tc>
          <w:tcPr>
            <w:tcW w:type="dxa" w:w="1097"/>
          </w:tcPr>
          <w:p>
            <w:r/>
            <w:r>
              <w:rPr>
                <w:rFonts w:ascii="Calibri" w:hAnsi="Calibri"/>
                <w:b w:val="0"/>
                <w:sz w:val="19"/>
              </w:rPr>
              <w:t>Mensual</w:t>
            </w:r>
          </w:p>
        </w:tc>
        <w:tc>
          <w:tcPr>
            <w:tcW w:type="dxa" w:w="1895"/>
          </w:tcPr>
          <w:p>
            <w:r/>
            <w:r>
              <w:rPr>
                <w:rFonts w:ascii="Calibri" w:hAnsi="Calibri"/>
                <w:b w:val="0"/>
                <w:sz w:val="19"/>
              </w:rPr>
              <w:t>Tickets o folios de postventa en Trello</w:t>
            </w:r>
          </w:p>
        </w:tc>
        <w:tc>
          <w:tcPr>
            <w:tcW w:type="dxa" w:w="1396"/>
          </w:tcPr>
          <w:p>
            <w:r/>
            <w:r>
              <w:rPr>
                <w:rFonts w:ascii="Calibri" w:hAnsi="Calibri"/>
                <w:b w:val="0"/>
                <w:sz w:val="19"/>
              </w:rPr>
              <w:t>Coordinación de Postventa</w:t>
            </w:r>
          </w:p>
        </w:tc>
      </w:tr>
      <w:tr>
        <w:tc>
          <w:tcPr>
            <w:tcW w:type="dxa" w:w="1596"/>
          </w:tcPr>
          <w:p>
            <w:r/>
            <w:r>
              <w:rPr>
                <w:rFonts w:ascii="Calibri" w:hAnsi="Calibri"/>
                <w:b w:val="0"/>
                <w:sz w:val="19"/>
              </w:rPr>
              <w:t>Desempeño del sistema (generación real vs. prometida)</w:t>
            </w:r>
          </w:p>
        </w:tc>
        <w:tc>
          <w:tcPr>
            <w:tcW w:type="dxa" w:w="2692"/>
          </w:tcPr>
          <w:p>
            <w:r/>
            <w:r>
              <w:rPr>
                <w:rFonts w:ascii="Calibri" w:hAnsi="Calibri"/>
                <w:b w:val="0"/>
                <w:sz w:val="19"/>
              </w:rPr>
              <w:t>Porcentaje de cumplimiento de la generación real medida del sistema instalado frente a la producción prometida al cliente. Corresponde al objetivo 6.2 'Desempeño del sistema' del Manual de Calidad MC-SP-01.</w:t>
            </w:r>
          </w:p>
        </w:tc>
        <w:tc>
          <w:tcPr>
            <w:tcW w:type="dxa" w:w="1296"/>
          </w:tcPr>
          <w:p>
            <w:r/>
            <w:r>
              <w:rPr>
                <w:rFonts w:ascii="Calibri" w:hAnsi="Calibri"/>
                <w:b w:val="0"/>
                <w:sz w:val="19"/>
              </w:rPr>
              <w:t>[por definir con la Dirección]</w:t>
            </w:r>
          </w:p>
        </w:tc>
        <w:tc>
          <w:tcPr>
            <w:tcW w:type="dxa" w:w="1097"/>
          </w:tcPr>
          <w:p>
            <w:r/>
            <w:r>
              <w:rPr>
                <w:rFonts w:ascii="Calibri" w:hAnsi="Calibri"/>
                <w:b w:val="0"/>
                <w:sz w:val="19"/>
              </w:rPr>
              <w:t>Trimestral</w:t>
            </w:r>
          </w:p>
        </w:tc>
        <w:tc>
          <w:tcPr>
            <w:tcW w:type="dxa" w:w="1895"/>
          </w:tcPr>
          <w:p>
            <w:r/>
            <w:r>
              <w:rPr>
                <w:rFonts w:ascii="Calibri" w:hAnsi="Calibri"/>
                <w:b w:val="0"/>
                <w:sz w:val="19"/>
              </w:rPr>
              <w:t>[Por validar: plataforma de monitoreo de generación del sistema instalado]</w:t>
            </w:r>
          </w:p>
        </w:tc>
        <w:tc>
          <w:tcPr>
            <w:tcW w:type="dxa" w:w="1396"/>
          </w:tcPr>
          <w:p>
            <w:r/>
            <w:r>
              <w:rPr>
                <w:rFonts w:ascii="Calibri" w:hAnsi="Calibri"/>
                <w:b w:val="0"/>
                <w:sz w:val="19"/>
              </w:rPr>
              <w:t>Coordinación de Postventa</w:t>
            </w:r>
          </w:p>
        </w:tc>
      </w:tr>
      <w:tr>
        <w:tc>
          <w:tcPr>
            <w:tcW w:type="dxa" w:w="1596"/>
          </w:tcPr>
          <w:p>
            <w:r/>
            <w:r>
              <w:rPr>
                <w:rFonts w:ascii="Calibri" w:hAnsi="Calibri"/>
                <w:b w:val="0"/>
                <w:sz w:val="19"/>
              </w:rPr>
              <w:t>No conformidades</w:t>
            </w:r>
          </w:p>
        </w:tc>
        <w:tc>
          <w:tcPr>
            <w:tcW w:type="dxa" w:w="2692"/>
          </w:tcPr>
          <w:p>
            <w:r/>
            <w:r>
              <w:rPr>
                <w:rFonts w:ascii="Calibri" w:hAnsi="Calibri"/>
                <w:b w:val="0"/>
                <w:sz w:val="19"/>
              </w:rPr>
              <w:t>Número de no conformidades levantadas en el periodo y porcentaje cerrado con acción correctiva dentro del plazo acordado.</w:t>
            </w:r>
          </w:p>
        </w:tc>
        <w:tc>
          <w:tcPr>
            <w:tcW w:type="dxa" w:w="1296"/>
          </w:tcPr>
          <w:p>
            <w:r/>
            <w:r>
              <w:rPr>
                <w:rFonts w:ascii="Calibri" w:hAnsi="Calibri"/>
                <w:b w:val="0"/>
                <w:sz w:val="19"/>
              </w:rPr>
              <w:t>[por definir con la Dirección]</w:t>
            </w:r>
          </w:p>
        </w:tc>
        <w:tc>
          <w:tcPr>
            <w:tcW w:type="dxa" w:w="1097"/>
          </w:tcPr>
          <w:p>
            <w:r/>
            <w:r>
              <w:rPr>
                <w:rFonts w:ascii="Calibri" w:hAnsi="Calibri"/>
                <w:b w:val="0"/>
                <w:sz w:val="19"/>
              </w:rPr>
              <w:t>Mensual; se revisa cada trimestre en el Comité de Calidad</w:t>
            </w:r>
          </w:p>
        </w:tc>
        <w:tc>
          <w:tcPr>
            <w:tcW w:type="dxa" w:w="1895"/>
          </w:tcPr>
          <w:p>
            <w:r/>
            <w:r>
              <w:rPr>
                <w:rFonts w:ascii="Calibri" w:hAnsi="Calibri"/>
                <w:b w:val="0"/>
                <w:sz w:val="19"/>
              </w:rPr>
              <w:t>Ticket de salida no conforme en Trello y REG-NCA-001 Bitácora de No Conformidades (cláusulas 8.7 y 10.2)</w:t>
            </w:r>
          </w:p>
        </w:tc>
        <w:tc>
          <w:tcPr>
            <w:tcW w:type="dxa" w:w="1396"/>
          </w:tcPr>
          <w:p>
            <w:r/>
            <w:r>
              <w:rPr>
                <w:rFonts w:ascii="Calibri" w:hAnsi="Calibri"/>
                <w:b w:val="0"/>
                <w:sz w:val="19"/>
              </w:rPr>
              <w:t>Gerencia Administrativa</w:t>
            </w:r>
          </w:p>
        </w:tc>
      </w:tr>
      <w:tr>
        <w:tc>
          <w:tcPr>
            <w:tcW w:type="dxa" w:w="1596"/>
          </w:tcPr>
          <w:p>
            <w:r/>
            <w:r>
              <w:rPr>
                <w:rFonts w:ascii="Calibri" w:hAnsi="Calibri"/>
                <w:b w:val="0"/>
                <w:sz w:val="19"/>
              </w:rPr>
              <w:t>Cierre de acciones correctivas en plazo</w:t>
            </w:r>
          </w:p>
        </w:tc>
        <w:tc>
          <w:tcPr>
            <w:tcW w:type="dxa" w:w="2692"/>
          </w:tcPr>
          <w:p>
            <w:r/>
            <w:r>
              <w:rPr>
                <w:rFonts w:ascii="Calibri" w:hAnsi="Calibri"/>
                <w:b w:val="0"/>
                <w:sz w:val="19"/>
              </w:rPr>
              <w:t>(Acciones correctivas cerradas dentro del plazo acordado / total de acciones correctivas del periodo) x 100.</w:t>
            </w:r>
          </w:p>
        </w:tc>
        <w:tc>
          <w:tcPr>
            <w:tcW w:type="dxa" w:w="1296"/>
          </w:tcPr>
          <w:p>
            <w:r/>
            <w:r>
              <w:rPr>
                <w:rFonts w:ascii="Calibri" w:hAnsi="Calibri"/>
                <w:b w:val="0"/>
                <w:sz w:val="19"/>
              </w:rPr>
              <w:t>[por definir con la Dirección]</w:t>
            </w:r>
          </w:p>
        </w:tc>
        <w:tc>
          <w:tcPr>
            <w:tcW w:type="dxa" w:w="1097"/>
          </w:tcPr>
          <w:p>
            <w:r/>
            <w:r>
              <w:rPr>
                <w:rFonts w:ascii="Calibri" w:hAnsi="Calibri"/>
                <w:b w:val="0"/>
                <w:sz w:val="19"/>
              </w:rPr>
              <w:t>Trimestral</w:t>
            </w:r>
          </w:p>
        </w:tc>
        <w:tc>
          <w:tcPr>
            <w:tcW w:type="dxa" w:w="1895"/>
          </w:tcPr>
          <w:p>
            <w:r/>
            <w:r>
              <w:rPr>
                <w:rFonts w:ascii="Calibri" w:hAnsi="Calibri"/>
                <w:b w:val="0"/>
                <w:sz w:val="19"/>
              </w:rPr>
              <w:t>REG-NCA-001 Bitácora de No Conformidades (seguimiento de acciones correctivas en Trello)</w:t>
            </w:r>
          </w:p>
        </w:tc>
        <w:tc>
          <w:tcPr>
            <w:tcW w:type="dxa" w:w="1396"/>
          </w:tcPr>
          <w:p>
            <w:r/>
            <w:r>
              <w:rPr>
                <w:rFonts w:ascii="Calibri" w:hAnsi="Calibri"/>
                <w:b w:val="0"/>
                <w:sz w:val="19"/>
              </w:rPr>
              <w:t>Gerencia Administrativa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 leyenda [por definir con la Dirección] indica la meta pendiente de aprobación. Solo la satisfacción del cliente trae meta fijada (90 por ciento o más, Manual de Calidad MC-SP-01, sección 6.2). Este tablero da seguimiento a los objetivos de calidad de la sección 6.2 del manual: la satisfacción del cliente, el tiempo de respuesta en postventa, las instalaciones entregadas a tiempo (medidas aquí como cumplimiento de la fecha comprometida), la tasa de retrabajo o callbacks y el desempeño del sistema (generación real contra la prometida). El objetivo de seguridad Accidentes, con meta cero en el manual, se atiende como indicador de seguridad fuera de este tablero de calidad; su registro y responsable se ratifican en la revisión por la dirección. Las demás metas y la línea base del primer periodo se aprueban en la revisión por la dirección.</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la meta numérica de cada indicador salvo la satisfacción del cliente; la línea base del primer periodo de medición; la fuente de dato del desempeño del sistema (plataforma de monitoreo de generación); el registro y el responsable del objetivo de seguridad Accidentes (meta cero, Manual 6.2); y confirmar el responsable de cada indicador, para su aprobación en la primera revisión por la dirección.]</w:t>
            </w:r>
          </w:p>
        </w:tc>
      </w:tr>
    </w:tbl>
    <w:p>
      <w:pPr>
        <w:spacing w:after="40"/>
      </w:pPr>
    </w:p>
    <w:p>
      <w:pPr>
        <w:keepNext/>
        <w:spacing w:before="280" w:after="80"/>
        <w:pBdr>
          <w:bottom w:val="single" w:sz="8" w:color="F0E528"/>
        </w:pBdr>
      </w:pPr>
      <w:r>
        <w:rPr>
          <w:rFonts w:ascii="Georgia" w:hAnsi="Georgia"/>
          <w:b/>
          <w:color w:val="0056B4"/>
          <w:sz w:val="26"/>
        </w:rPr>
        <w:t>4. Fuentes de dato y método de recolección</w:t>
      </w:r>
    </w:p>
    <w:p>
      <w:pPr>
        <w:spacing w:after="120"/>
      </w:pPr>
      <w:r>
        <w:rPr>
          <w:rFonts w:ascii="Calibri" w:hAnsi="Calibri"/>
          <w:color w:val="1C242E"/>
          <w:sz w:val="21"/>
        </w:rPr>
        <w:t>El dato de cada indicador se toma de las herramientas que SolarPro ya usa en su operación diaria, de modo que medir no exija registros adicionales:</w:t>
      </w:r>
    </w:p>
    <w:p>
      <w:pPr>
        <w:pStyle w:val="ListBullet"/>
      </w:pPr>
      <w:r>
        <w:rPr>
          <w:rFonts w:ascii="Calibri" w:hAnsi="Calibri"/>
          <w:sz w:val="20"/>
        </w:rPr>
        <w:t>Trello es el repositorio único del proyecto. De la tarjeta se obtienen la fecha comprometida, la fecha del acta de encendido, los tickets de postventa y los folios de salida no conforme.</w:t>
      </w:r>
    </w:p>
    <w:p>
      <w:pPr>
        <w:pStyle w:val="ListBullet"/>
      </w:pPr>
      <w:r>
        <w:rPr>
          <w:rFonts w:ascii="Calibri" w:hAnsi="Calibri"/>
          <w:sz w:val="20"/>
        </w:rPr>
        <w:t>La encuesta de postventa alimenta la satisfacción del cliente; Servicio a Cliente la documenta en un formato y la consolida en un concentrado cargado en Trello.</w:t>
      </w:r>
    </w:p>
    <w:p>
      <w:pPr>
        <w:pStyle w:val="ListBullet"/>
      </w:pPr>
      <w:r>
        <w:rPr>
          <w:rFonts w:ascii="Calibri" w:hAnsi="Calibri"/>
          <w:sz w:val="20"/>
        </w:rPr>
        <w:t>El acta de encendido cierra la entrega y sirve de fecha real de terminación para el cumplimiento de la fecha comprometida.</w:t>
      </w:r>
    </w:p>
    <w:p>
      <w:pPr>
        <w:pStyle w:val="ListBullet"/>
      </w:pPr>
      <w:r>
        <w:rPr>
          <w:rFonts w:ascii="Calibri" w:hAnsi="Calibri"/>
          <w:sz w:val="20"/>
        </w:rPr>
        <w:t>Control Sun registra la cotización y sirve para medir el tiempo de respuesta comercial.</w:t>
      </w:r>
    </w:p>
    <w:p>
      <w:pPr>
        <w:pStyle w:val="ListBullet"/>
      </w:pPr>
      <w:r>
        <w:rPr>
          <w:rFonts w:ascii="Calibri" w:hAnsi="Calibri"/>
          <w:sz w:val="20"/>
        </w:rPr>
        <w:t>El ticket de salida no conforme en Trello, concentrado en la REG-NCA-001 Bitácora de No Conformidades (cláusulas 8.7 y 10.2), alimenta las no conformidades y el cierre de acciones correctivas.</w:t>
      </w:r>
    </w:p>
    <w:p>
      <w:pPr>
        <w:spacing w:after="120"/>
      </w:pPr>
      <w:r>
        <w:rPr>
          <w:rFonts w:ascii="Calibri" w:hAnsi="Calibri"/>
          <w:color w:val="1C242E"/>
          <w:sz w:val="21"/>
        </w:rPr>
        <w:t>Cada responsable extrae el dato con la frecuencia indicada en el tablero, lo calcula con la fórmula definida y lo registra en el Reporte de Desempeño del periodo.</w:t>
      </w:r>
    </w:p>
    <w:p>
      <w:pPr>
        <w:keepNext/>
        <w:spacing w:before="280" w:after="80"/>
        <w:pBdr>
          <w:bottom w:val="single" w:sz="8" w:color="F0E528"/>
        </w:pBdr>
      </w:pPr>
      <w:r>
        <w:rPr>
          <w:rFonts w:ascii="Georgia" w:hAnsi="Georgia"/>
          <w:b/>
          <w:color w:val="0056B4"/>
          <w:sz w:val="26"/>
        </w:rPr>
        <w:t>5. Análisis y evaluación del desempeño (9.1.3)</w:t>
      </w:r>
    </w:p>
    <w:p>
      <w:pPr>
        <w:spacing w:after="120"/>
      </w:pPr>
      <w:r>
        <w:rPr>
          <w:rFonts w:ascii="Calibri" w:hAnsi="Calibri"/>
          <w:color w:val="1C242E"/>
          <w:sz w:val="21"/>
        </w:rPr>
        <w:t>El análisis del desempeño cumple la cláusula 9.1.3: no se limita a reportar el número, sino que busca interpretar por qué se movió el indicador y qué decisión tomar. Para cada indicador del periodo, el responsable aplica los pasos siguientes:</w:t>
      </w:r>
    </w:p>
    <w:p>
      <w:pPr>
        <w:pStyle w:val="ListNumber"/>
      </w:pPr>
      <w:r>
        <w:rPr>
          <w:b/>
          <w:sz w:val="20"/>
        </w:rPr>
        <w:t xml:space="preserve">Comparar contra la meta. </w:t>
      </w:r>
      <w:r>
        <w:rPr>
          <w:rFonts w:ascii="Calibri" w:hAnsi="Calibri"/>
          <w:sz w:val="20"/>
        </w:rPr>
        <w:t>Situar el resultado frente a la meta aprobada y determinar si la cumple o no.</w:t>
      </w:r>
    </w:p>
    <w:p>
      <w:pPr>
        <w:pStyle w:val="ListNumber"/>
      </w:pPr>
      <w:r>
        <w:rPr>
          <w:b/>
          <w:sz w:val="20"/>
        </w:rPr>
        <w:t xml:space="preserve">Comparar contra periodos anteriores. </w:t>
      </w:r>
      <w:r>
        <w:rPr>
          <w:rFonts w:ascii="Calibri" w:hAnsi="Calibri"/>
          <w:sz w:val="20"/>
        </w:rPr>
        <w:t>Revisar la tendencia respecto al periodo previo para distinguir un dato puntual de un patrón.</w:t>
      </w:r>
    </w:p>
    <w:p>
      <w:pPr>
        <w:pStyle w:val="ListNumber"/>
      </w:pPr>
      <w:r>
        <w:rPr>
          <w:b/>
          <w:sz w:val="20"/>
        </w:rPr>
        <w:t xml:space="preserve">Aplicar el semáforo. </w:t>
      </w:r>
      <w:r>
        <w:rPr>
          <w:rFonts w:ascii="Calibri" w:hAnsi="Calibri"/>
          <w:sz w:val="20"/>
        </w:rPr>
        <w:t>Clasificar el resultado en verde, amarillo o rojo según el criterio de la sección siguiente.</w:t>
      </w:r>
    </w:p>
    <w:p>
      <w:pPr>
        <w:pStyle w:val="ListNumber"/>
      </w:pPr>
      <w:r>
        <w:rPr>
          <w:b/>
          <w:sz w:val="20"/>
        </w:rPr>
        <w:t xml:space="preserve">Interpretar la causa. </w:t>
      </w:r>
      <w:r>
        <w:rPr>
          <w:rFonts w:ascii="Calibri" w:hAnsi="Calibri"/>
          <w:sz w:val="20"/>
        </w:rPr>
        <w:t>Explicar por qué el indicador quedó donde quedó, con la evidencia de Trello y la operación, sin quedarse en el número.</w:t>
      </w:r>
    </w:p>
    <w:p>
      <w:pPr>
        <w:pStyle w:val="ListNumber"/>
      </w:pPr>
      <w:r>
        <w:rPr>
          <w:b/>
          <w:sz w:val="20"/>
        </w:rPr>
        <w:t xml:space="preserve">Determinar la acción. </w:t>
      </w:r>
      <w:r>
        <w:rPr>
          <w:rFonts w:ascii="Calibri" w:hAnsi="Calibri"/>
          <w:sz w:val="20"/>
        </w:rPr>
        <w:t>Decidir si se mantiene, se corrige, se abre una acción correctiva o de mejora, o se escala al Comité de Calidad.</w:t>
      </w:r>
    </w:p>
    <w:p>
      <w:pPr>
        <w:spacing w:after="120"/>
      </w:pPr>
      <w:r>
        <w:rPr>
          <w:rFonts w:ascii="Calibri" w:hAnsi="Calibri"/>
          <w:color w:val="1C242E"/>
          <w:sz w:val="21"/>
        </w:rPr>
        <w:t>Criterio de semáforo: verde cuando el indicador cumple la meta; amarillo cuando queda cerca de la meta o muestra una tendencia adversa; rojo cuando incumple la meta. Un indicador en rojo, o dos periodos consecutivos en amarillo, obliga a abrir un análisis de causa raíz conforme a la cláusula 10.2 y a actualizar la matriz de riesgos MAT-RIE-001 cuando corresponda.</w:t>
      </w:r>
    </w:p>
    <w:p>
      <w:pPr>
        <w:spacing w:after="120"/>
      </w:pPr>
      <w:r>
        <w:rPr>
          <w:rFonts w:ascii="Calibri" w:hAnsi="Calibri"/>
          <w:color w:val="1C242E"/>
          <w:sz w:val="21"/>
        </w:rPr>
        <w:t>La interpretación de cada indicador se registra por escrito en la columna de interpretación y decisión del Reporte de Desempeño, de modo que la revisión por la dirección reciba conclusiones y no solo cifras.</w:t>
      </w:r>
    </w:p>
    <w:p>
      <w:pPr>
        <w:keepNext/>
        <w:spacing w:before="280" w:after="80"/>
        <w:pBdr>
          <w:bottom w:val="single" w:sz="8" w:color="F0E528"/>
        </w:pBdr>
      </w:pPr>
      <w:r>
        <w:rPr>
          <w:rFonts w:ascii="Georgia" w:hAnsi="Georgia"/>
          <w:b/>
          <w:color w:val="0056B4"/>
          <w:sz w:val="26"/>
        </w:rPr>
        <w:t>6. Junta de resultados y revisión por la dirección</w:t>
      </w:r>
    </w:p>
    <w:p>
      <w:pPr>
        <w:spacing w:after="120"/>
      </w:pPr>
      <w:r>
        <w:rPr>
          <w:rFonts w:ascii="Calibri" w:hAnsi="Calibri"/>
          <w:color w:val="1C242E"/>
          <w:sz w:val="21"/>
        </w:rPr>
        <w:t>El Comité de Calidad revisa el desempeño en la revisión por la dirección, con cadencia trimestral, conforme a la cláusula 9.3. El Comité de Calidad se integra por la Dirección General, la Gerencia Comercial, la Gerencia Administrativa, la Coordinación de Ingeniería y la Coordinación de Instalaciones, conforme a las cláusulas 5.1 y 9.3 del Manual de Calidad MC-SP-01.</w:t>
      </w:r>
    </w:p>
    <w:p>
      <w:pPr>
        <w:spacing w:after="120"/>
      </w:pPr>
      <w:r>
        <w:rPr>
          <w:rFonts w:ascii="Calibri" w:hAnsi="Calibri"/>
          <w:color w:val="1C242E"/>
          <w:sz w:val="21"/>
        </w:rPr>
        <w:t>La junta toma como entradas el desempeño de cada indicador y su interpretación, la satisfacción del cliente, las no conformidades y las acciones correctivas, los resultados de la auditoría interna (programa PRG-AUD-001 e informe INF-AI-001) y las oportunidades de mejora. Produce como salidas las decisiones de mejora, los cambios al SGC y los recursos asignados. Se levanta la minuta o registro de la revisión por la dirección (ACT-RD-001) y se conserva en el repositorio documental del SGC.</w:t>
      </w:r>
    </w:p>
    <w:p>
      <w:pPr>
        <w:spacing w:after="120"/>
      </w:pPr>
      <w:r>
        <w:rPr>
          <w:rFonts w:ascii="Calibri" w:hAnsi="Calibri"/>
          <w:color w:val="1C242E"/>
          <w:sz w:val="21"/>
        </w:rPr>
        <w:t>Entre sesiones trimestrales, los indicadores de frecuencia mensual los revisa el responsable de cada uno; si un indicador se sale de la meta, se escala de inmediato al Comité de Calidad sin esperar a la junta trimestral.</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armonizar la nomenclatura de roles entre este plan y el Manual de Calidad MC-SP-01. El manual integra el Comité de Calidad con la Gerencia Comercial y la Coordinación de Instalaciones; este plan asigna la medición operativa de algunos indicadores a la Coordinación Comercial y a la Coordinación de Postventa. Ratificar el organigrama y la correspondencia de funciones en la revisión por la dirección.]</w:t>
            </w:r>
          </w:p>
        </w:tc>
      </w:tr>
    </w:tbl>
    <w:p>
      <w:pPr>
        <w:spacing w:after="40"/>
      </w:pPr>
    </w:p>
    <w:p>
      <w:pPr>
        <w:keepNext/>
        <w:spacing w:before="280" w:after="80"/>
        <w:pBdr>
          <w:bottom w:val="single" w:sz="8" w:color="F0E528"/>
        </w:pBdr>
      </w:pPr>
      <w:r>
        <w:rPr>
          <w:rFonts w:ascii="Georgia" w:hAnsi="Georgia"/>
          <w:b/>
          <w:color w:val="0056B4"/>
          <w:sz w:val="26"/>
        </w:rPr>
        <w:t>7. Reporte de Desempeño periódico (plantilla)</w:t>
      </w:r>
    </w:p>
    <w:p>
      <w:pPr>
        <w:spacing w:after="120"/>
      </w:pPr>
      <w:r>
        <w:rPr>
          <w:rFonts w:ascii="Calibri" w:hAnsi="Calibri"/>
          <w:color w:val="1C242E"/>
          <w:sz w:val="21"/>
        </w:rPr>
        <w:t>El Reporte de Desempeño es el registro donde se consolidan los indicadores del periodo con su interpretación. La Gerencia Administrativa lo integra a partir de lo que reporta cada responsable y lo presenta al Comité de Calidad. La plantilla siguiente se llena cada periodo.</w:t>
      </w:r>
    </w:p>
    <w:p>
      <w:pPr>
        <w:keepNext/>
        <w:spacing w:before="200" w:after="60"/>
      </w:pPr>
      <w:r>
        <w:rPr>
          <w:rFonts w:ascii="Georgia" w:hAnsi="Georgia"/>
          <w:b/>
          <w:color w:val="1C242E"/>
          <w:sz w:val="22"/>
        </w:rPr>
        <w:t>Encabezado del reporte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3490"/>
            <w:shd w:val="clear" w:fill="0056B4"/>
          </w:tcPr>
          <w:p>
            <w:pPr>
              <w:jc w:val="center"/>
            </w:pPr>
            <w:r/>
            <w:r>
              <w:rPr>
                <w:rFonts w:ascii="Calibri" w:hAnsi="Calibri"/>
                <w:b/>
                <w:color w:val="FFFFFF"/>
                <w:sz w:val="17"/>
              </w:rPr>
              <w:t>Campo</w:t>
            </w:r>
          </w:p>
        </w:tc>
        <w:tc>
          <w:tcPr>
            <w:tcW w:type="dxa" w:w="6482"/>
            <w:shd w:val="clear" w:fill="0056B4"/>
          </w:tcPr>
          <w:p>
            <w:pPr>
              <w:jc w:val="center"/>
            </w:pPr>
            <w:r/>
            <w:r>
              <w:rPr>
                <w:rFonts w:ascii="Calibri" w:hAnsi="Calibri"/>
                <w:b/>
                <w:color w:val="FFFFFF"/>
                <w:sz w:val="17"/>
              </w:rPr>
              <w:t>Registro del periodo</w:t>
            </w:r>
          </w:p>
        </w:tc>
      </w:tr>
      <w:tr>
        <w:tc>
          <w:tcPr>
            <w:tcW w:type="dxa" w:w="3490"/>
          </w:tcPr>
          <w:p>
            <w:r/>
            <w:r>
              <w:rPr>
                <w:rFonts w:ascii="Calibri" w:hAnsi="Calibri"/>
                <w:b w:val="0"/>
                <w:sz w:val="19"/>
              </w:rPr>
              <w:t>Periodo evaluado</w:t>
            </w:r>
          </w:p>
        </w:tc>
        <w:tc>
          <w:tcPr>
            <w:tcW w:type="dxa" w:w="6482"/>
          </w:tcPr>
          <w:p>
            <w:r/>
            <w:r>
              <w:rPr>
                <w:rFonts w:ascii="Calibri" w:hAnsi="Calibri"/>
                <w:b w:val="0"/>
                <w:sz w:val="19"/>
              </w:rPr>
            </w:r>
          </w:p>
        </w:tc>
      </w:tr>
      <w:tr>
        <w:tc>
          <w:tcPr>
            <w:tcW w:type="dxa" w:w="3490"/>
          </w:tcPr>
          <w:p>
            <w:r/>
            <w:r>
              <w:rPr>
                <w:rFonts w:ascii="Calibri" w:hAnsi="Calibri"/>
                <w:b w:val="0"/>
                <w:sz w:val="19"/>
              </w:rPr>
              <w:t>Fecha de elaboración</w:t>
            </w:r>
          </w:p>
        </w:tc>
        <w:tc>
          <w:tcPr>
            <w:tcW w:type="dxa" w:w="6482"/>
          </w:tcPr>
          <w:p>
            <w:r/>
            <w:r>
              <w:rPr>
                <w:rFonts w:ascii="Calibri" w:hAnsi="Calibri"/>
                <w:b w:val="0"/>
                <w:sz w:val="19"/>
              </w:rPr>
            </w:r>
          </w:p>
        </w:tc>
      </w:tr>
      <w:tr>
        <w:tc>
          <w:tcPr>
            <w:tcW w:type="dxa" w:w="3490"/>
          </w:tcPr>
          <w:p>
            <w:r/>
            <w:r>
              <w:rPr>
                <w:rFonts w:ascii="Calibri" w:hAnsi="Calibri"/>
                <w:b w:val="0"/>
                <w:sz w:val="19"/>
              </w:rPr>
              <w:t>Elaboró (rol responsable)</w:t>
            </w:r>
          </w:p>
        </w:tc>
        <w:tc>
          <w:tcPr>
            <w:tcW w:type="dxa" w:w="6482"/>
          </w:tcPr>
          <w:p>
            <w:r/>
            <w:r>
              <w:rPr>
                <w:rFonts w:ascii="Calibri" w:hAnsi="Calibri"/>
                <w:b w:val="0"/>
                <w:sz w:val="19"/>
              </w:rPr>
            </w:r>
          </w:p>
        </w:tc>
      </w:tr>
      <w:tr>
        <w:tc>
          <w:tcPr>
            <w:tcW w:type="dxa" w:w="3490"/>
          </w:tcPr>
          <w:p>
            <w:r/>
            <w:r>
              <w:rPr>
                <w:rFonts w:ascii="Calibri" w:hAnsi="Calibri"/>
                <w:b w:val="0"/>
                <w:sz w:val="19"/>
              </w:rPr>
              <w:t>Revisó (Comité de Calidad)</w:t>
            </w:r>
          </w:p>
        </w:tc>
        <w:tc>
          <w:tcPr>
            <w:tcW w:type="dxa" w:w="6482"/>
          </w:tcPr>
          <w:p>
            <w:r/>
            <w:r>
              <w:rPr>
                <w:rFonts w:ascii="Calibri" w:hAnsi="Calibri"/>
                <w:b w:val="0"/>
                <w:sz w:val="19"/>
              </w:rPr>
            </w:r>
          </w:p>
        </w:tc>
      </w:tr>
    </w:tbl>
    <w:p>
      <w:pPr>
        <w:keepNext/>
        <w:spacing w:before="200" w:after="60"/>
      </w:pPr>
      <w:r>
        <w:rPr>
          <w:rFonts w:ascii="Georgia" w:hAnsi="Georgia"/>
          <w:b/>
          <w:color w:val="1C242E"/>
          <w:sz w:val="22"/>
        </w:rPr>
        <w:t>Tablero del periodo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662"/>
        <w:gridCol w:w="1662"/>
        <w:gridCol w:w="1662"/>
        <w:gridCol w:w="1662"/>
        <w:gridCol w:w="1662"/>
        <w:gridCol w:w="1662"/>
      </w:tblGrid>
      <w:tr>
        <w:tc>
          <w:tcPr>
            <w:tcW w:type="dxa" w:w="1994"/>
            <w:shd w:val="clear" w:fill="0056B4"/>
          </w:tcPr>
          <w:p>
            <w:pPr>
              <w:jc w:val="center"/>
            </w:pPr>
            <w:r/>
            <w:r>
              <w:rPr>
                <w:rFonts w:ascii="Calibri" w:hAnsi="Calibri"/>
                <w:b/>
                <w:color w:val="FFFFFF"/>
                <w:sz w:val="17"/>
              </w:rPr>
              <w:t>Indicador</w:t>
            </w:r>
          </w:p>
        </w:tc>
        <w:tc>
          <w:tcPr>
            <w:tcW w:type="dxa" w:w="1296"/>
            <w:shd w:val="clear" w:fill="0056B4"/>
          </w:tcPr>
          <w:p>
            <w:pPr>
              <w:jc w:val="center"/>
            </w:pPr>
            <w:r/>
            <w:r>
              <w:rPr>
                <w:rFonts w:ascii="Calibri" w:hAnsi="Calibri"/>
                <w:b/>
                <w:color w:val="FFFFFF"/>
                <w:sz w:val="17"/>
              </w:rPr>
              <w:t>Meta</w:t>
            </w:r>
          </w:p>
        </w:tc>
        <w:tc>
          <w:tcPr>
            <w:tcW w:type="dxa" w:w="1296"/>
            <w:shd w:val="clear" w:fill="0056B4"/>
          </w:tcPr>
          <w:p>
            <w:pPr>
              <w:jc w:val="center"/>
            </w:pPr>
            <w:r/>
            <w:r>
              <w:rPr>
                <w:rFonts w:ascii="Calibri" w:hAnsi="Calibri"/>
                <w:b/>
                <w:color w:val="FFFFFF"/>
                <w:sz w:val="17"/>
              </w:rPr>
              <w:t>Resultado del periodo</w:t>
            </w:r>
          </w:p>
        </w:tc>
        <w:tc>
          <w:tcPr>
            <w:tcW w:type="dxa" w:w="1296"/>
            <w:shd w:val="clear" w:fill="0056B4"/>
          </w:tcPr>
          <w:p>
            <w:pPr>
              <w:jc w:val="center"/>
            </w:pPr>
            <w:r/>
            <w:r>
              <w:rPr>
                <w:rFonts w:ascii="Calibri" w:hAnsi="Calibri"/>
                <w:b/>
                <w:color w:val="FFFFFF"/>
                <w:sz w:val="17"/>
              </w:rPr>
              <w:t>Tendencia vs anterior</w:t>
            </w:r>
          </w:p>
        </w:tc>
        <w:tc>
          <w:tcPr>
            <w:tcW w:type="dxa" w:w="997"/>
            <w:shd w:val="clear" w:fill="0056B4"/>
          </w:tcPr>
          <w:p>
            <w:pPr>
              <w:jc w:val="center"/>
            </w:pPr>
            <w:r/>
            <w:r>
              <w:rPr>
                <w:rFonts w:ascii="Calibri" w:hAnsi="Calibri"/>
                <w:b/>
                <w:color w:val="FFFFFF"/>
                <w:sz w:val="17"/>
              </w:rPr>
              <w:t>Semáforo</w:t>
            </w:r>
          </w:p>
        </w:tc>
        <w:tc>
          <w:tcPr>
            <w:tcW w:type="dxa" w:w="3091"/>
            <w:shd w:val="clear" w:fill="0056B4"/>
          </w:tcPr>
          <w:p>
            <w:pPr>
              <w:jc w:val="center"/>
            </w:pPr>
            <w:r/>
            <w:r>
              <w:rPr>
                <w:rFonts w:ascii="Calibri" w:hAnsi="Calibri"/>
                <w:b/>
                <w:color w:val="FFFFFF"/>
                <w:sz w:val="17"/>
              </w:rPr>
              <w:t>Interpretación y decisión</w:t>
            </w:r>
          </w:p>
        </w:tc>
      </w:tr>
      <w:tr>
        <w:tc>
          <w:tcPr>
            <w:tcW w:type="dxa" w:w="1994"/>
          </w:tcPr>
          <w:p>
            <w:r/>
            <w:r>
              <w:rPr>
                <w:rFonts w:ascii="Calibri" w:hAnsi="Calibri"/>
                <w:b w:val="0"/>
                <w:sz w:val="19"/>
              </w:rPr>
              <w:t>Satisfacción del cliente</w:t>
            </w:r>
          </w:p>
        </w:tc>
        <w:tc>
          <w:tcPr>
            <w:tcW w:type="dxa" w:w="1296"/>
          </w:tcPr>
          <w:p>
            <w:r/>
            <w:r>
              <w:rPr>
                <w:rFonts w:ascii="Calibri" w:hAnsi="Calibri"/>
                <w:b w:val="0"/>
                <w:sz w:val="19"/>
              </w:rPr>
              <w:t>90 por ciento o más</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r>
        <w:tc>
          <w:tcPr>
            <w:tcW w:type="dxa" w:w="1994"/>
          </w:tcPr>
          <w:p>
            <w:r/>
            <w:r>
              <w:rPr>
                <w:rFonts w:ascii="Calibri" w:hAnsi="Calibri"/>
                <w:b w:val="0"/>
                <w:sz w:val="19"/>
              </w:rPr>
              <w:t>Cumplimiento de la fecha comprometida</w:t>
            </w:r>
          </w:p>
        </w:tc>
        <w:tc>
          <w:tcPr>
            <w:tcW w:type="dxa" w:w="1296"/>
          </w:tcPr>
          <w:p>
            <w:r/>
            <w:r>
              <w:rPr>
                <w:rFonts w:ascii="Calibri" w:hAnsi="Calibri"/>
                <w:b w:val="0"/>
                <w:sz w:val="19"/>
              </w:rPr>
              <w:t>[por definir]</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r>
        <w:tc>
          <w:tcPr>
            <w:tcW w:type="dxa" w:w="1994"/>
          </w:tcPr>
          <w:p>
            <w:r/>
            <w:r>
              <w:rPr>
                <w:rFonts w:ascii="Calibri" w:hAnsi="Calibri"/>
                <w:b w:val="0"/>
                <w:sz w:val="19"/>
              </w:rPr>
              <w:t>Tiempo de respuesta comercial</w:t>
            </w:r>
          </w:p>
        </w:tc>
        <w:tc>
          <w:tcPr>
            <w:tcW w:type="dxa" w:w="1296"/>
          </w:tcPr>
          <w:p>
            <w:r/>
            <w:r>
              <w:rPr>
                <w:rFonts w:ascii="Calibri" w:hAnsi="Calibri"/>
                <w:b w:val="0"/>
                <w:sz w:val="19"/>
              </w:rPr>
              <w:t>[por definir]</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r>
        <w:tc>
          <w:tcPr>
            <w:tcW w:type="dxa" w:w="1994"/>
          </w:tcPr>
          <w:p>
            <w:r/>
            <w:r>
              <w:rPr>
                <w:rFonts w:ascii="Calibri" w:hAnsi="Calibri"/>
                <w:b w:val="0"/>
                <w:sz w:val="19"/>
              </w:rPr>
              <w:t>Tiempo de respuesta de postventa</w:t>
            </w:r>
          </w:p>
        </w:tc>
        <w:tc>
          <w:tcPr>
            <w:tcW w:type="dxa" w:w="1296"/>
          </w:tcPr>
          <w:p>
            <w:r/>
            <w:r>
              <w:rPr>
                <w:rFonts w:ascii="Calibri" w:hAnsi="Calibri"/>
                <w:b w:val="0"/>
                <w:sz w:val="19"/>
              </w:rPr>
              <w:t>[por definir]</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r>
        <w:tc>
          <w:tcPr>
            <w:tcW w:type="dxa" w:w="1994"/>
          </w:tcPr>
          <w:p>
            <w:r/>
            <w:r>
              <w:rPr>
                <w:rFonts w:ascii="Calibri" w:hAnsi="Calibri"/>
                <w:b w:val="0"/>
                <w:sz w:val="19"/>
              </w:rPr>
              <w:t>Retrabajo o callbacks en postventa</w:t>
            </w:r>
          </w:p>
        </w:tc>
        <w:tc>
          <w:tcPr>
            <w:tcW w:type="dxa" w:w="1296"/>
          </w:tcPr>
          <w:p>
            <w:r/>
            <w:r>
              <w:rPr>
                <w:rFonts w:ascii="Calibri" w:hAnsi="Calibri"/>
                <w:b w:val="0"/>
                <w:sz w:val="19"/>
              </w:rPr>
              <w:t>[por definir]</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r>
        <w:tc>
          <w:tcPr>
            <w:tcW w:type="dxa" w:w="1994"/>
          </w:tcPr>
          <w:p>
            <w:r/>
            <w:r>
              <w:rPr>
                <w:rFonts w:ascii="Calibri" w:hAnsi="Calibri"/>
                <w:b w:val="0"/>
                <w:sz w:val="19"/>
              </w:rPr>
              <w:t>Desempeño del sistema (generación real vs. prometida)</w:t>
            </w:r>
          </w:p>
        </w:tc>
        <w:tc>
          <w:tcPr>
            <w:tcW w:type="dxa" w:w="1296"/>
          </w:tcPr>
          <w:p>
            <w:r/>
            <w:r>
              <w:rPr>
                <w:rFonts w:ascii="Calibri" w:hAnsi="Calibri"/>
                <w:b w:val="0"/>
                <w:sz w:val="19"/>
              </w:rPr>
              <w:t>[por definir]</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r>
        <w:tc>
          <w:tcPr>
            <w:tcW w:type="dxa" w:w="1994"/>
          </w:tcPr>
          <w:p>
            <w:r/>
            <w:r>
              <w:rPr>
                <w:rFonts w:ascii="Calibri" w:hAnsi="Calibri"/>
                <w:b w:val="0"/>
                <w:sz w:val="19"/>
              </w:rPr>
              <w:t>No conformidades</w:t>
            </w:r>
          </w:p>
        </w:tc>
        <w:tc>
          <w:tcPr>
            <w:tcW w:type="dxa" w:w="1296"/>
          </w:tcPr>
          <w:p>
            <w:r/>
            <w:r>
              <w:rPr>
                <w:rFonts w:ascii="Calibri" w:hAnsi="Calibri"/>
                <w:b w:val="0"/>
                <w:sz w:val="19"/>
              </w:rPr>
              <w:t>[por definir]</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r>
        <w:tc>
          <w:tcPr>
            <w:tcW w:type="dxa" w:w="1994"/>
          </w:tcPr>
          <w:p>
            <w:r/>
            <w:r>
              <w:rPr>
                <w:rFonts w:ascii="Calibri" w:hAnsi="Calibri"/>
                <w:b w:val="0"/>
                <w:sz w:val="19"/>
              </w:rPr>
              <w:t>Cierre de acciones correctivas en plazo</w:t>
            </w:r>
          </w:p>
        </w:tc>
        <w:tc>
          <w:tcPr>
            <w:tcW w:type="dxa" w:w="1296"/>
          </w:tcPr>
          <w:p>
            <w:r/>
            <w:r>
              <w:rPr>
                <w:rFonts w:ascii="Calibri" w:hAnsi="Calibri"/>
                <w:b w:val="0"/>
                <w:sz w:val="19"/>
              </w:rPr>
              <w:t>[por definir]</w:t>
            </w:r>
          </w:p>
        </w:tc>
        <w:tc>
          <w:tcPr>
            <w:tcW w:type="dxa" w:w="1296"/>
          </w:tcPr>
          <w:p>
            <w:r/>
            <w:r>
              <w:rPr>
                <w:rFonts w:ascii="Calibri" w:hAnsi="Calibri"/>
                <w:b w:val="0"/>
                <w:sz w:val="19"/>
              </w:rPr>
            </w:r>
          </w:p>
        </w:tc>
        <w:tc>
          <w:tcPr>
            <w:tcW w:type="dxa" w:w="1296"/>
          </w:tcPr>
          <w:p>
            <w:r/>
            <w:r>
              <w:rPr>
                <w:rFonts w:ascii="Calibri" w:hAnsi="Calibri"/>
                <w:b w:val="0"/>
                <w:sz w:val="19"/>
              </w:rPr>
            </w:r>
          </w:p>
        </w:tc>
        <w:tc>
          <w:tcPr>
            <w:tcW w:type="dxa" w:w="997"/>
          </w:tcPr>
          <w:p>
            <w:r/>
            <w:r>
              <w:rPr>
                <w:rFonts w:ascii="Calibri" w:hAnsi="Calibri"/>
                <w:b w:val="0"/>
                <w:sz w:val="19"/>
              </w:rPr>
            </w:r>
          </w:p>
        </w:tc>
        <w:tc>
          <w:tcPr>
            <w:tcW w:type="dxa" w:w="3091"/>
          </w:tcPr>
          <w:p>
            <w:r/>
            <w:r>
              <w:rPr>
                <w:rFonts w:ascii="Calibri" w:hAnsi="Calibri"/>
                <w:b w:val="0"/>
                <w:sz w:val="19"/>
              </w:rPr>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Llenado: registrar el resultado del periodo, la tendencia respecto al periodo anterior (sube, baja o estable), el semáforo (verde, amarillo o rojo) y una interpretación breve con la decisión tomada. La columna de interpretación no debe quedar vacía: es lo que la revisión por la dirección analiza.</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si el Reporte de Desempeño se mantiene como formato en Trello o se registra en una hoja del repositorio documental del SGC, y quién lo consolida cada periodo.]</w:t>
            </w:r>
          </w:p>
        </w:tc>
      </w:tr>
    </w:tbl>
    <w:p>
      <w:pPr>
        <w:spacing w:after="40"/>
      </w:pPr>
    </w:p>
    <w:p>
      <w:pPr>
        <w:keepNext/>
        <w:spacing w:before="280" w:after="80"/>
        <w:pBdr>
          <w:bottom w:val="single" w:sz="8" w:color="F0E528"/>
        </w:pBdr>
      </w:pPr>
      <w:r>
        <w:rPr>
          <w:rFonts w:ascii="Georgia" w:hAnsi="Georgia"/>
          <w:b/>
          <w:color w:val="0056B4"/>
          <w:sz w:val="26"/>
        </w:rPr>
        <w:t>8. Control de la información documentada</w:t>
      </w:r>
    </w:p>
    <w:p>
      <w:pPr>
        <w:spacing w:after="120"/>
      </w:pPr>
      <w:r>
        <w:rPr>
          <w:rFonts w:ascii="Calibri" w:hAnsi="Calibri"/>
          <w:color w:val="1C242E"/>
          <w:sz w:val="21"/>
        </w:rPr>
        <w:t>Este plan y sus registros (los Reportes de Desempeño, las minutas de la revisión por la dirección (ACT-RD-001) y el concentrado de satisfacción del cliente) se conservan en el repositorio documental del SGC, el hub, conforme a la cláusula 7.5. La actualización de metas o de indicadores se registra en el historial de revisiones de este documento y se acuerda en la revisión por la dirección.</w:t>
      </w: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Aprueba y emite</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Plan de Seguimiento y Medición · PLA-MED-001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