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single" w:sz="6" w:color="000000"/>
          <w:left w:val="single" w:sz="6" w:color="000000"/>
          <w:bottom w:val="single" w:sz="6" w:color="000000"/>
          <w:right w:val="single" w:sz="6" w:color="000000"/>
          <w:insideH w:val="single" w:sz="6" w:color="000000"/>
          <w:insideV w:val="single" w:sz="6" w:color="000000"/>
        </w:tblBorders>
      </w:tblPr>
      <w:tblGrid>
        <w:gridCol w:w="2550"/>
        <w:gridCol w:w="2550"/>
        <w:gridCol w:w="2550"/>
        <w:gridCol w:w="2550"/>
      </w:tblGrid>
      <w:tr>
        <w:tc>
          <w:tcPr>
            <w:tcW w:type="dxa" w:w="2448"/>
            <w:vMerge w:val="restart"/>
          </w:tcPr>
          <w:p>
            <w:pPr>
              <w:jc w:val="center"/>
            </w:pPr>
            <w:r/>
            <w:r>
              <w:drawing>
                <wp:inline xmlns:a="http://schemas.openxmlformats.org/drawingml/2006/main" xmlns:pic="http://schemas.openxmlformats.org/drawingml/2006/picture">
                  <wp:extent cx="1224000" cy="402171"/>
                  <wp:docPr id="1" name="Picture 1"/>
                  <wp:cNvGraphicFramePr>
                    <a:graphicFrameLocks noChangeAspect="1"/>
                  </wp:cNvGraphicFramePr>
                  <a:graphic>
                    <a:graphicData uri="http://schemas.openxmlformats.org/drawingml/2006/picture">
                      <pic:pic>
                        <pic:nvPicPr>
                          <pic:cNvPr id="0" name="paneles-solares-chihuahua-financiamiento-cotizacion-credito-energia-solar-cibanco-solarpro-sustainable-energy-logo.png"/>
                          <pic:cNvPicPr/>
                        </pic:nvPicPr>
                        <pic:blipFill>
                          <a:blip r:embed="rId10"/>
                          <a:stretch>
                            <a:fillRect/>
                          </a:stretch>
                        </pic:blipFill>
                        <pic:spPr>
                          <a:xfrm>
                            <a:off x="0" y="0"/>
                            <a:ext cx="1224000" cy="402171"/>
                          </a:xfrm>
                          <a:prstGeom prst="rect"/>
                        </pic:spPr>
                      </pic:pic>
                    </a:graphicData>
                  </a:graphic>
                </wp:inline>
              </w:drawing>
            </w:r>
          </w:p>
        </w:tc>
        <w:tc>
          <w:tcPr>
            <w:tcW w:type="dxa" w:w="4080"/>
            <w:vMerge w:val="restart"/>
            <w:shd w:val="clear" w:fill="F2F2F2"/>
          </w:tcPr>
          <w:p>
            <w:pPr>
              <w:jc w:val="center"/>
            </w:pPr>
            <w:r/>
            <w:r>
              <w:rPr>
                <w:rFonts w:ascii="Georgia" w:hAnsi="Georgia"/>
                <w:b/>
                <w:sz w:val="26"/>
              </w:rPr>
              <w:t>Planeación y Programación de Visitas Técnicas</w:t>
            </w:r>
          </w:p>
        </w:tc>
        <w:tc>
          <w:tcPr>
            <w:tcW w:type="dxa" w:w="1836"/>
          </w:tcPr>
          <w:p>
            <w:r/>
            <w:r>
              <w:rPr>
                <w:rFonts w:ascii="Calibri" w:hAnsi="Calibri"/>
                <w:b/>
                <w:sz w:val="15"/>
              </w:rPr>
              <w:t xml:space="preserve">Código: </w:t>
            </w:r>
            <w:r>
              <w:rPr>
                <w:rFonts w:ascii="Calibri" w:hAnsi="Calibri"/>
                <w:sz w:val="15"/>
              </w:rPr>
              <w:t>PRO-ING-01</w:t>
            </w:r>
          </w:p>
        </w:tc>
        <w:tc>
          <w:tcPr>
            <w:tcW w:type="dxa" w:w="1836"/>
          </w:tcPr>
          <w:p>
            <w:r/>
            <w:r>
              <w:rPr>
                <w:rFonts w:ascii="Calibri" w:hAnsi="Calibri"/>
                <w:b/>
                <w:sz w:val="15"/>
              </w:rPr>
              <w:t xml:space="preserve">Versión: </w:t>
            </w:r>
            <w:r>
              <w:rPr>
                <w:rFonts w:ascii="Calibri" w:hAnsi="Calibri"/>
                <w:sz w:val="15"/>
              </w:rPr>
              <w:t>1.0</w:t>
            </w:r>
          </w:p>
        </w:tc>
      </w:tr>
      <w:tr>
        <w:tc>
          <w:tcPr>
            <w:tcW w:type="dxa" w:w="2448"/>
            <w:vMerge/>
          </w:tcPr>
          <w:p/>
        </w:tc>
        <w:tc>
          <w:tcPr>
            <w:tcW w:type="dxa" w:w="4080"/>
            <w:vMerge/>
          </w:tcPr>
          <w:p/>
        </w:tc>
        <w:tc>
          <w:tcPr>
            <w:tcW w:type="dxa" w:w="1836"/>
          </w:tcPr>
          <w:p>
            <w:r/>
            <w:r>
              <w:rPr>
                <w:rFonts w:ascii="Calibri" w:hAnsi="Calibri"/>
                <w:b/>
                <w:sz w:val="15"/>
              </w:rPr>
              <w:t xml:space="preserve">Emisión: </w:t>
            </w:r>
            <w:r>
              <w:rPr>
                <w:rFonts w:ascii="Calibri" w:hAnsi="Calibri"/>
                <w:sz w:val="15"/>
              </w:rPr>
              <w:t>Septiembre 2026</w:t>
            </w:r>
          </w:p>
        </w:tc>
        <w:tc>
          <w:tcPr>
            <w:tcW w:type="dxa" w:w="1836"/>
          </w:tcPr>
          <w:p>
            <w:r/>
            <w:r>
              <w:rPr>
                <w:rFonts w:ascii="Calibri" w:hAnsi="Calibri"/>
                <w:b/>
                <w:sz w:val="15"/>
              </w:rPr>
              <w:t xml:space="preserve">Revisión: </w:t>
            </w:r>
            <w:r>
              <w:rPr>
                <w:rFonts w:ascii="Calibri" w:hAnsi="Calibri"/>
                <w:sz w:val="15"/>
              </w:rPr>
              <w:t>Diciembre 2026</w:t>
            </w:r>
          </w:p>
        </w:tc>
      </w:tr>
      <w:tr>
        <w:tc>
          <w:tcPr>
            <w:tcW w:type="dxa" w:w="2448"/>
            <w:vMerge/>
          </w:tcPr>
          <w:p/>
        </w:tc>
        <w:tc>
          <w:tcPr>
            <w:tcW w:type="dxa" w:w="4080"/>
          </w:tcPr>
          <w:p>
            <w:pPr>
              <w:jc w:val="center"/>
            </w:pPr>
            <w:r/>
            <w:r>
              <w:rPr>
                <w:rFonts w:ascii="Calibri" w:hAnsi="Calibri"/>
                <w:b w:val="0"/>
                <w:color w:val="595959"/>
                <w:sz w:val="16"/>
              </w:rPr>
              <w:t>Procedimiento de Ingeniería</w:t>
            </w:r>
          </w:p>
        </w:tc>
        <w:tc>
          <w:tcPr>
            <w:tcW w:type="dxa" w:w="1836"/>
          </w:tcPr>
          <w:p>
            <w:r/>
            <w:r>
              <w:rPr>
                <w:rFonts w:ascii="Calibri" w:hAnsi="Calibri"/>
                <w:b/>
                <w:sz w:val="15"/>
              </w:rPr>
              <w:t xml:space="preserve">Estado: </w:t>
            </w:r>
            <w:r>
              <w:rPr>
                <w:rFonts w:ascii="Calibri" w:hAnsi="Calibri"/>
                <w:sz w:val="15"/>
              </w:rPr>
              <w:t>Borrador para validación</w:t>
            </w:r>
          </w:p>
        </w:tc>
        <w:tc>
          <w:tcPr>
            <w:tcW w:type="dxa" w:w="1836"/>
          </w:tcPr>
          <w:p>
            <w:r/>
            <w:r>
              <w:rPr>
                <w:rFonts w:ascii="Calibri" w:hAnsi="Calibri"/>
                <w:b/>
                <w:sz w:val="15"/>
              </w:rPr>
              <w:t xml:space="preserve">Página: </w:t>
            </w:r>
            <w:r>
              <w:rPr>
                <w:rFonts w:ascii="Calibri" w:hAnsi="Calibri"/>
                <w:sz w:val="15"/>
              </w:rPr>
              <w:fldChar w:fldCharType="begin"/>
            </w:r>
            <w:r>
              <w:rPr>
                <w:rFonts w:ascii="Calibri" w:hAnsi="Calibri"/>
                <w:sz w:val="15"/>
              </w:rPr>
              <w:instrText xml:space="preserve"> PAGE </w:instrText>
            </w:r>
            <w:r>
              <w:fldChar w:fldCharType="separate"/>
            </w:r>
            <w:r>
              <w:rPr>
                <w:rFonts w:ascii="Calibri" w:hAnsi="Calibri"/>
                <w:sz w:val="15"/>
              </w:rPr>
              <w:t>1</w:t>
            </w:r>
            <w:r>
              <w:fldChar w:fldCharType="end"/>
            </w:r>
            <w:r>
              <w:rPr>
                <w:rFonts w:ascii="Calibri" w:hAnsi="Calibri"/>
                <w:sz w:val="15"/>
              </w:rPr>
              <w:t xml:space="preserve"> de </w:t>
            </w:r>
            <w:r>
              <w:rPr>
                <w:rFonts w:ascii="Calibri" w:hAnsi="Calibri"/>
                <w:sz w:val="15"/>
              </w:rPr>
              <w:fldChar w:fldCharType="begin"/>
            </w:r>
            <w:r>
              <w:rPr>
                <w:rFonts w:ascii="Calibri" w:hAnsi="Calibri"/>
                <w:sz w:val="15"/>
              </w:rPr>
              <w:instrText xml:space="preserve"> NUMPAGES </w:instrText>
            </w:r>
            <w:r>
              <w:fldChar w:fldCharType="separate"/>
            </w:r>
            <w:r>
              <w:rPr>
                <w:rFonts w:ascii="Calibri" w:hAnsi="Calibri"/>
                <w:sz w:val="15"/>
              </w:rPr>
              <w:t>1</w:t>
            </w:r>
            <w:r>
              <w:fldChar w:fldCharType="end"/>
            </w:r>
          </w:p>
        </w:tc>
      </w:tr>
      <w:tr>
        <w:tc>
          <w:tcPr>
            <w:tcW w:type="dxa" w:w="2448"/>
            <w:vMerge/>
          </w:tcPr>
          <w:p/>
        </w:tc>
        <w:tc>
          <w:tcPr>
            <w:tcW w:type="dxa" w:w="4080"/>
          </w:tcPr>
          <w:p>
            <w:pPr>
              <w:jc w:val="center"/>
            </w:pPr>
            <w:r/>
            <w:r>
              <w:rPr>
                <w:rFonts w:ascii="Calibri" w:hAnsi="Calibri"/>
                <w:b w:val="0"/>
                <w:color w:val="595959"/>
                <w:sz w:val="16"/>
              </w:rPr>
              <w:t>Cláusula ISO 9001: 8.1, 8.5</w:t>
            </w:r>
          </w:p>
        </w:tc>
        <w:tc>
          <w:tcPr>
            <w:tcW w:type="dxa" w:w="1836"/>
          </w:tcPr>
          <w:p>
            <w:r/>
            <w:r>
              <w:rPr>
                <w:rFonts w:ascii="Calibri" w:hAnsi="Calibri"/>
                <w:b/>
                <w:sz w:val="15"/>
              </w:rPr>
              <w:t xml:space="preserve">Propietario: </w:t>
            </w:r>
            <w:r>
              <w:rPr>
                <w:rFonts w:ascii="Calibri" w:hAnsi="Calibri"/>
                <w:sz w:val="15"/>
              </w:rPr>
              <w:t>Coordinación de Ingeniería</w:t>
            </w:r>
          </w:p>
        </w:tc>
        <w:tc>
          <w:tcPr>
            <w:tcW w:type="dxa" w:w="1836"/>
          </w:tcPr>
          <w:p>
            <w:r/>
            <w:r>
              <w:rPr>
                <w:rFonts w:ascii="Calibri" w:hAnsi="Calibri"/>
                <w:b/>
                <w:sz w:val="15"/>
              </w:rPr>
              <w:t xml:space="preserve">Elaboró: </w:t>
            </w:r>
            <w:r>
              <w:rPr>
                <w:rFonts w:ascii="Calibri" w:hAnsi="Calibri"/>
                <w:sz w:val="15"/>
              </w:rPr>
              <w:t>DETA Consultores</w:t>
            </w:r>
          </w:p>
        </w:tc>
      </w:tr>
    </w:tbl>
    <w:p>
      <w:pPr>
        <w:spacing w:before="40" w:after="160"/>
        <w:pBdr>
          <w:bottom w:val="single" w:sz="18" w:color="F0E528"/>
        </w:pBdr>
      </w:pPr>
    </w:p>
    <w:tbl>
      <w:tblPr>
        <w:tblW w:type="auto" w:w="0"/>
        <w:tblLook w:firstColumn="1" w:firstRow="1" w:lastColumn="0" w:lastRow="0" w:noHBand="0" w:noVBand="1" w:val="04A0"/>
        <w:tblBorders>
          <w:left w:val="single" w:sz="16" w:color="F0E528"/>
        </w:tblBorders>
      </w:tblPr>
      <w:tblGrid>
        <w:gridCol w:w="10200"/>
      </w:tblGrid>
      <w:tr>
        <w:tc>
          <w:tcPr>
            <w:tcW w:type="dxa" w:w="10200"/>
            <w:shd w:val="clear" w:fill="FFF9DB"/>
          </w:tcPr>
          <w:p>
            <w:r/>
            <w:r>
              <w:rPr>
                <w:rFonts w:ascii="Calibri" w:hAnsi="Calibri"/>
                <w:b w:val="0"/>
                <w:color w:val="003D80"/>
                <w:sz w:val="17"/>
              </w:rPr>
              <w:t>Importante: Ingeniería no agenda ninguna visita sin la tarjeta de Trello completa. Una tarjeta incompleta se devuelve a Comercial con nota y pausa la agenda; la reincidencia se escala a Dirección Comercial. El propósito es eliminar las visitas ejecutadas sin acceso o sin información suficiente.</w:t>
            </w:r>
          </w:p>
        </w:tc>
      </w:tr>
    </w:tbl>
    <w:p>
      <w:pPr>
        <w:spacing w:after="40"/>
      </w:pPr>
    </w:p>
    <w:p>
      <w:pPr>
        <w:keepNext/>
        <w:spacing w:before="240" w:after="80"/>
        <w:pBdr>
          <w:bottom w:val="single" w:sz="8" w:color="F0E528"/>
        </w:pBdr>
      </w:pPr>
      <w:r>
        <w:rPr>
          <w:rFonts w:ascii="Georgia" w:hAnsi="Georgia"/>
          <w:b/>
          <w:color w:val="0056B4"/>
          <w:sz w:val="22"/>
        </w:rPr>
        <w:t>1. OBJETIVO</w:t>
      </w:r>
    </w:p>
    <w:p>
      <w:pPr>
        <w:spacing w:after="120"/>
      </w:pPr>
      <w:r>
        <w:rPr>
          <w:rFonts w:ascii="Calibri" w:hAnsi="Calibri"/>
          <w:color w:val="1C242E"/>
          <w:sz w:val="21"/>
        </w:rPr>
        <w:t>Estandarizar la recepción de solicitudes de proyecto desde Comercial, la validación de la completitud de la tarjeta de Trello, la asignación del ingeniero y la confirmación de la visita, para que ninguna visita técnica se programe sin la información y los accesos necesarios.</w:t>
      </w:r>
    </w:p>
    <w:p>
      <w:pPr>
        <w:keepNext/>
        <w:spacing w:before="240" w:after="80"/>
        <w:pBdr>
          <w:bottom w:val="single" w:sz="8" w:color="F0E528"/>
        </w:pBdr>
      </w:pPr>
      <w:r>
        <w:rPr>
          <w:rFonts w:ascii="Georgia" w:hAnsi="Georgia"/>
          <w:b/>
          <w:color w:val="0056B4"/>
          <w:sz w:val="22"/>
        </w:rPr>
        <w:t>2. ALCANCE</w:t>
      </w:r>
    </w:p>
    <w:p>
      <w:pPr>
        <w:spacing w:after="120"/>
      </w:pPr>
      <w:r>
        <w:rPr>
          <w:rFonts w:ascii="Calibri" w:hAnsi="Calibri"/>
          <w:color w:val="1C242E"/>
          <w:sz w:val="21"/>
        </w:rPr>
        <w:t>Aplica a todo proyecto residencial y comercial de SolarPro en Chihuahua y Ciudad Juárez, una vez que Comercial detona el flujo con el anticipo del enganche registrado. Cubre desde la validación de la tarjeta de Trello hasta la confirmación de la ventana de visita con el cliente.</w:t>
      </w:r>
    </w:p>
    <w:p>
      <w:pPr>
        <w:keepNext/>
        <w:spacing w:before="240" w:after="80"/>
        <w:pBdr>
          <w:bottom w:val="single" w:sz="8" w:color="F0E528"/>
        </w:pBdr>
      </w:pPr>
      <w:r>
        <w:rPr>
          <w:rFonts w:ascii="Georgia" w:hAnsi="Georgia"/>
          <w:b/>
          <w:color w:val="0056B4"/>
          <w:sz w:val="22"/>
        </w:rPr>
        <w:t>3. DEFINICIONES Y ABREVIATURAS</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Pr>
      <w:tblGrid>
        <w:gridCol w:w="5100"/>
        <w:gridCol w:w="5100"/>
      </w:tblGrid>
      <w:tr>
        <w:tc>
          <w:tcPr>
            <w:tcW w:type="dxa" w:w="2856"/>
            <w:shd w:val="clear" w:fill="0056B4"/>
          </w:tcPr>
          <w:p>
            <w:pPr>
              <w:jc w:val="center"/>
            </w:pPr>
            <w:r/>
            <w:r>
              <w:rPr>
                <w:rFonts w:ascii="Calibri" w:hAnsi="Calibri"/>
                <w:b/>
                <w:color w:val="FFFFFF"/>
                <w:sz w:val="17"/>
              </w:rPr>
              <w:t>Término</w:t>
            </w:r>
          </w:p>
        </w:tc>
        <w:tc>
          <w:tcPr>
            <w:tcW w:type="dxa" w:w="7344"/>
            <w:shd w:val="clear" w:fill="0056B4"/>
          </w:tcPr>
          <w:p>
            <w:pPr>
              <w:jc w:val="center"/>
            </w:pPr>
            <w:r/>
            <w:r>
              <w:rPr>
                <w:rFonts w:ascii="Calibri" w:hAnsi="Calibri"/>
                <w:b/>
                <w:color w:val="FFFFFF"/>
                <w:sz w:val="17"/>
              </w:rPr>
              <w:t>Definición</w:t>
            </w:r>
          </w:p>
        </w:tc>
      </w:tr>
      <w:tr>
        <w:tc>
          <w:tcPr>
            <w:tcW w:type="dxa" w:w="2856"/>
          </w:tcPr>
          <w:p>
            <w:r/>
            <w:r>
              <w:rPr>
                <w:rFonts w:ascii="Calibri" w:hAnsi="Calibri"/>
                <w:b w:val="0"/>
                <w:sz w:val="19"/>
              </w:rPr>
              <w:t>Tarjeta de Trello</w:t>
            </w:r>
          </w:p>
        </w:tc>
        <w:tc>
          <w:tcPr>
            <w:tcW w:type="dxa" w:w="7344"/>
          </w:tcPr>
          <w:p>
            <w:r/>
            <w:r>
              <w:rPr>
                <w:rFonts w:ascii="Calibri" w:hAnsi="Calibri"/>
                <w:b w:val="0"/>
                <w:sz w:val="19"/>
              </w:rPr>
              <w:t>Repositorio único del proyecto: si no está en Trello, no existe para operaciones.</w:t>
            </w:r>
          </w:p>
        </w:tc>
      </w:tr>
      <w:tr>
        <w:tc>
          <w:tcPr>
            <w:tcW w:type="dxa" w:w="2856"/>
          </w:tcPr>
          <w:p>
            <w:r/>
            <w:r>
              <w:rPr>
                <w:rFonts w:ascii="Calibri" w:hAnsi="Calibri"/>
                <w:b w:val="0"/>
                <w:sz w:val="19"/>
              </w:rPr>
              <w:t>Visita sin prerrequisitos</w:t>
            </w:r>
          </w:p>
        </w:tc>
        <w:tc>
          <w:tcPr>
            <w:tcW w:type="dxa" w:w="7344"/>
          </w:tcPr>
          <w:p>
            <w:r/>
            <w:r>
              <w:rPr>
                <w:rFonts w:ascii="Calibri" w:hAnsi="Calibri"/>
                <w:b w:val="0"/>
                <w:sz w:val="19"/>
              </w:rPr>
              <w:t>Visita técnica ejecutada sin los prerrequisitos o el acceso necesarios, que genera costo sin avance del proyecto.</w:t>
            </w:r>
          </w:p>
        </w:tc>
      </w:tr>
      <w:tr>
        <w:tc>
          <w:tcPr>
            <w:tcW w:type="dxa" w:w="2856"/>
          </w:tcPr>
          <w:p>
            <w:r/>
            <w:r>
              <w:rPr>
                <w:rFonts w:ascii="Calibri" w:hAnsi="Calibri"/>
                <w:b w:val="0"/>
                <w:sz w:val="19"/>
              </w:rPr>
              <w:t>Handoff</w:t>
            </w:r>
          </w:p>
        </w:tc>
        <w:tc>
          <w:tcPr>
            <w:tcW w:type="dxa" w:w="7344"/>
          </w:tcPr>
          <w:p>
            <w:r/>
            <w:r>
              <w:rPr>
                <w:rFonts w:ascii="Calibri" w:hAnsi="Calibri"/>
                <w:b w:val="0"/>
                <w:sz w:val="19"/>
              </w:rPr>
              <w:t>Traspaso formal del proyecto de Comercial a Ingeniería, con la información mínima validada.</w:t>
            </w:r>
          </w:p>
        </w:tc>
      </w:tr>
    </w:tbl>
    <w:p>
      <w:pPr>
        <w:keepNext/>
        <w:spacing w:before="240" w:after="80"/>
        <w:pBdr>
          <w:bottom w:val="single" w:sz="8" w:color="F0E528"/>
        </w:pBdr>
      </w:pPr>
      <w:r>
        <w:rPr>
          <w:rFonts w:ascii="Georgia" w:hAnsi="Georgia"/>
          <w:b/>
          <w:color w:val="0056B4"/>
          <w:sz w:val="22"/>
        </w:rPr>
        <w:t>4. DOCUMENTOS DE REFERENCIA</w:t>
      </w:r>
    </w:p>
    <w:p>
      <w:pPr>
        <w:pStyle w:val="ListBullet"/>
      </w:pPr>
      <w:r>
        <w:rPr>
          <w:rFonts w:ascii="Calibri" w:hAnsi="Calibri"/>
          <w:sz w:val="20"/>
        </w:rPr>
        <w:t>ISO 9001:2015 cláusulas 8.1 (planificación y control operacional) y 8.5 (producción y provisión del servicio)</w:t>
      </w:r>
    </w:p>
    <w:p>
      <w:pPr>
        <w:pStyle w:val="ListBullet"/>
      </w:pPr>
      <w:r>
        <w:rPr>
          <w:rFonts w:ascii="Calibri" w:hAnsi="Calibri"/>
          <w:sz w:val="20"/>
        </w:rPr>
        <w:t>SOL-PROC-001 Proceso Comercial-Ingeniería-Postventa, fase 7.1 (documento origen que este procedimiento descompone)</w:t>
      </w:r>
    </w:p>
    <w:p>
      <w:pPr>
        <w:pStyle w:val="ListBullet"/>
      </w:pPr>
      <w:r>
        <w:rPr>
          <w:rFonts w:ascii="Calibri" w:hAnsi="Calibri"/>
          <w:sz w:val="20"/>
        </w:rPr>
        <w:t>POL-ING-001 Políticas de Ingeniería</w:t>
      </w:r>
    </w:p>
    <w:p>
      <w:pPr>
        <w:pStyle w:val="ListBullet"/>
      </w:pPr>
      <w:r>
        <w:rPr>
          <w:rFonts w:ascii="Calibri" w:hAnsi="Calibri"/>
          <w:sz w:val="20"/>
        </w:rPr>
        <w:t>PRO-VEN-04 Handoff Comercial a Ingeniería</w:t>
      </w:r>
    </w:p>
    <w:p>
      <w:pPr>
        <w:keepNext/>
        <w:spacing w:before="240" w:after="80"/>
        <w:pBdr>
          <w:bottom w:val="single" w:sz="8" w:color="F0E528"/>
        </w:pBdr>
      </w:pPr>
      <w:r>
        <w:rPr>
          <w:rFonts w:ascii="Georgia" w:hAnsi="Georgia"/>
          <w:b/>
          <w:color w:val="0056B4"/>
          <w:sz w:val="22"/>
        </w:rPr>
        <w:t>5. RESPONSABILIDADES</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Pr>
      <w:tblGrid>
        <w:gridCol w:w="5100"/>
        <w:gridCol w:w="5100"/>
      </w:tblGrid>
      <w:tr>
        <w:tc>
          <w:tcPr>
            <w:tcW w:type="dxa" w:w="3060"/>
            <w:shd w:val="clear" w:fill="0056B4"/>
          </w:tcPr>
          <w:p>
            <w:pPr>
              <w:jc w:val="center"/>
            </w:pPr>
            <w:r/>
            <w:r>
              <w:rPr>
                <w:rFonts w:ascii="Calibri" w:hAnsi="Calibri"/>
                <w:b/>
                <w:color w:val="FFFFFF"/>
                <w:sz w:val="17"/>
              </w:rPr>
              <w:t>Responsable</w:t>
            </w:r>
          </w:p>
        </w:tc>
        <w:tc>
          <w:tcPr>
            <w:tcW w:type="dxa" w:w="7140"/>
            <w:shd w:val="clear" w:fill="0056B4"/>
          </w:tcPr>
          <w:p>
            <w:pPr>
              <w:jc w:val="center"/>
            </w:pPr>
            <w:r/>
            <w:r>
              <w:rPr>
                <w:rFonts w:ascii="Calibri" w:hAnsi="Calibri"/>
                <w:b/>
                <w:color w:val="FFFFFF"/>
                <w:sz w:val="17"/>
              </w:rPr>
              <w:t>Funciones</w:t>
            </w:r>
          </w:p>
        </w:tc>
      </w:tr>
      <w:tr>
        <w:tc>
          <w:tcPr>
            <w:tcW w:type="dxa" w:w="3060"/>
          </w:tcPr>
          <w:p>
            <w:r/>
            <w:r>
              <w:rPr>
                <w:rFonts w:ascii="Calibri" w:hAnsi="Calibri"/>
                <w:b w:val="0"/>
                <w:sz w:val="19"/>
              </w:rPr>
              <w:t>Comercial</w:t>
            </w:r>
          </w:p>
        </w:tc>
        <w:tc>
          <w:tcPr>
            <w:tcW w:type="dxa" w:w="7140"/>
          </w:tcPr>
          <w:p>
            <w:r/>
            <w:r>
              <w:rPr>
                <w:rFonts w:ascii="Calibri" w:hAnsi="Calibri"/>
                <w:b w:val="0"/>
                <w:sz w:val="19"/>
              </w:rPr>
              <w:t>Detonar el flujo con el anticipo registrado  ·  Cargar la tarjeta con los campos mínimos  ·  Publicar en el grupo de WhatsApp Renders  ·  Avisar al cliente el día anterior</w:t>
            </w:r>
          </w:p>
        </w:tc>
      </w:tr>
      <w:tr>
        <w:tc>
          <w:tcPr>
            <w:tcW w:type="dxa" w:w="3060"/>
          </w:tcPr>
          <w:p>
            <w:r/>
            <w:r>
              <w:rPr>
                <w:rFonts w:ascii="Calibri" w:hAnsi="Calibri"/>
                <w:b w:val="0"/>
                <w:sz w:val="19"/>
              </w:rPr>
              <w:t>Coordinación de Ingeniería</w:t>
            </w:r>
          </w:p>
        </w:tc>
        <w:tc>
          <w:tcPr>
            <w:tcW w:type="dxa" w:w="7140"/>
          </w:tcPr>
          <w:p>
            <w:r/>
            <w:r>
              <w:rPr>
                <w:rFonts w:ascii="Calibri" w:hAnsi="Calibri"/>
                <w:b w:val="0"/>
                <w:sz w:val="19"/>
              </w:rPr>
              <w:t>Validar la completitud de la tarjeta  ·  Asignar al ingeniero según el calendario de guardias y la disponibilidad  ·  Devolver y escalar las tarjetas incompletas</w:t>
            </w:r>
          </w:p>
        </w:tc>
      </w:tr>
      <w:tr>
        <w:tc>
          <w:tcPr>
            <w:tcW w:type="dxa" w:w="3060"/>
          </w:tcPr>
          <w:p>
            <w:r/>
            <w:r>
              <w:rPr>
                <w:rFonts w:ascii="Calibri" w:hAnsi="Calibri"/>
                <w:b w:val="0"/>
                <w:sz w:val="19"/>
              </w:rPr>
              <w:t>Ingeniero de campo</w:t>
            </w:r>
          </w:p>
        </w:tc>
        <w:tc>
          <w:tcPr>
            <w:tcW w:type="dxa" w:w="7140"/>
          </w:tcPr>
          <w:p>
            <w:r/>
            <w:r>
              <w:rPr>
                <w:rFonts w:ascii="Calibri" w:hAnsi="Calibri"/>
                <w:b w:val="0"/>
                <w:sz w:val="19"/>
              </w:rPr>
              <w:t>Confirmar la ventana de visita con al menos una hora de anticipación</w:t>
            </w:r>
          </w:p>
        </w:tc>
      </w:tr>
    </w:tbl>
    <w:p>
      <w:pPr>
        <w:keepNext/>
        <w:spacing w:before="240" w:after="80"/>
        <w:pBdr>
          <w:bottom w:val="single" w:sz="8" w:color="F0E528"/>
        </w:pBdr>
      </w:pPr>
      <w:r>
        <w:rPr>
          <w:rFonts w:ascii="Georgia" w:hAnsi="Georgia"/>
          <w:b/>
          <w:color w:val="0056B4"/>
          <w:sz w:val="22"/>
        </w:rPr>
        <w:t>6. POLÍTICAS Y LINEAMIENTOS</w:t>
      </w:r>
    </w:p>
    <w:p>
      <w:pPr>
        <w:spacing w:after="100"/>
      </w:pPr>
      <w:r>
        <w:rPr>
          <w:b/>
          <w:color w:val="0056B4"/>
          <w:sz w:val="20"/>
        </w:rPr>
        <w:t xml:space="preserve">Tarjeta completa. </w:t>
      </w:r>
      <w:r>
        <w:rPr>
          <w:rFonts w:ascii="Calibri" w:hAnsi="Calibri"/>
          <w:sz w:val="20"/>
        </w:rPr>
        <w:t>Ingeniería no agenda sin propuesta aceptada (etiqueta en Trello), capacidades y marca del sistema, ubicación precisa, recibo CFE adjunto, teléfono y nombre de quien recibe.</w:t>
      </w:r>
    </w:p>
    <w:p>
      <w:pPr>
        <w:spacing w:after="100"/>
      </w:pPr>
      <w:r>
        <w:rPr>
          <w:b/>
          <w:color w:val="0056B4"/>
          <w:sz w:val="20"/>
        </w:rPr>
        <w:t xml:space="preserve">Devolución formal. </w:t>
      </w:r>
      <w:r>
        <w:rPr>
          <w:rFonts w:ascii="Calibri" w:hAnsi="Calibri"/>
          <w:sz w:val="20"/>
        </w:rPr>
        <w:t>La tarjeta incompleta se devuelve a Comercial con nota y se pausa la agenda; la reincidencia se escala a Dirección Comercial.</w:t>
      </w:r>
    </w:p>
    <w:p>
      <w:pPr>
        <w:spacing w:after="100"/>
      </w:pPr>
      <w:r>
        <w:rPr>
          <w:b/>
          <w:color w:val="0056B4"/>
          <w:sz w:val="20"/>
        </w:rPr>
        <w:t xml:space="preserve">Confirmación en dos tiempos. </w:t>
      </w:r>
      <w:r>
        <w:rPr>
          <w:rFonts w:ascii="Calibri" w:hAnsi="Calibri"/>
          <w:sz w:val="20"/>
        </w:rPr>
        <w:t>Ventas avisa el día anterior; el ingeniero confirma la ventana el día de la visita con al menos una hora de anticipación, por llamada como canal primario y WhatsApp como respaldo.</w:t>
      </w:r>
    </w:p>
    <w:p>
      <w:pPr>
        <w:keepNext/>
        <w:spacing w:before="240" w:after="80"/>
        <w:pBdr>
          <w:bottom w:val="single" w:sz="8" w:color="F0E528"/>
        </w:pBdr>
      </w:pPr>
      <w:r>
        <w:rPr>
          <w:rFonts w:ascii="Georgia" w:hAnsi="Georgia"/>
          <w:b/>
          <w:color w:val="0056B4"/>
          <w:sz w:val="22"/>
        </w:rPr>
        <w:t>7. DESARROLLO DEL PROCEDIMIENTO</w:t>
      </w:r>
    </w:p>
    <w:p>
      <w:pPr>
        <w:spacing w:after="80"/>
      </w:pPr>
      <w:r>
        <w:rPr>
          <w:rFonts w:ascii="Calibri" w:hAnsi="Calibri"/>
          <w:color w:val="1C242E"/>
          <w:sz w:val="20"/>
        </w:rPr>
        <w:t>El procedimiento se desarrolla en fases secuenciales. Cada paso identifica al responsable y, cuando aplica, el registro que debe generarse.</w:t>
      </w:r>
    </w:p>
    <w:p>
      <w:pPr>
        <w:spacing w:before="160" w:after="60"/>
      </w:pPr>
      <w:r>
        <w:rPr>
          <w:b/>
          <w:color w:val="1C242E"/>
          <w:sz w:val="21"/>
        </w:rPr>
        <w:t>Fase 1. Recepción de la solicitud</w:t>
      </w:r>
    </w:p>
    <w:p>
      <w:pPr>
        <w:spacing w:after="60"/>
        <w:ind w:left="340"/>
      </w:pPr>
      <w:r>
        <w:rPr>
          <w:b/>
          <w:sz w:val="20"/>
        </w:rPr>
        <w:t xml:space="preserve">1. Detonar el flujo </w:t>
      </w:r>
      <w:r>
        <w:rPr>
          <w:rFonts w:ascii="Calibri" w:hAnsi="Calibri"/>
          <w:sz w:val="20"/>
        </w:rPr>
        <w:t>· Comercial cierra la propuesta, cobra el anticipo del enganche y detona el proyecto.</w:t>
      </w:r>
    </w:p>
    <w:p>
      <w:pPr>
        <w:spacing w:after="20"/>
        <w:ind w:left="680"/>
      </w:pPr>
      <w:r>
        <w:rPr>
          <w:b/>
          <w:color w:val="595959"/>
          <w:sz w:val="18"/>
        </w:rPr>
        <w:t xml:space="preserve">Responsable: </w:t>
      </w:r>
      <w:r>
        <w:rPr>
          <w:rFonts w:ascii="Calibri" w:hAnsi="Calibri"/>
          <w:color w:val="595959"/>
          <w:sz w:val="18"/>
        </w:rPr>
        <w:t>Comercial</w:t>
      </w:r>
    </w:p>
    <w:p>
      <w:pPr>
        <w:spacing w:after="60"/>
        <w:ind w:left="340"/>
      </w:pPr>
      <w:r>
        <w:rPr>
          <w:b/>
          <w:sz w:val="20"/>
        </w:rPr>
        <w:t xml:space="preserve">2. Cargar la tarjeta en Trello </w:t>
      </w:r>
      <w:r>
        <w:rPr>
          <w:rFonts w:ascii="Calibri" w:hAnsi="Calibri"/>
          <w:sz w:val="20"/>
        </w:rPr>
        <w:t>· Registrar fecha, dirección, capacidad de paneles, capacidad y marca del inversor, medidor, recibo CFE adjunto, ubicación, la etiqueta de propuesta aceptada, y el nombre y teléfono de quien recibe.</w:t>
      </w:r>
    </w:p>
    <w:p>
      <w:pPr>
        <w:spacing w:after="20"/>
        <w:ind w:left="680"/>
      </w:pPr>
      <w:r>
        <w:rPr>
          <w:b/>
          <w:color w:val="595959"/>
          <w:sz w:val="18"/>
        </w:rPr>
        <w:t xml:space="preserve">Responsable: </w:t>
      </w:r>
      <w:r>
        <w:rPr>
          <w:rFonts w:ascii="Calibri" w:hAnsi="Calibri"/>
          <w:color w:val="595959"/>
          <w:sz w:val="18"/>
        </w:rPr>
        <w:t>Comercial</w:t>
      </w:r>
    </w:p>
    <w:p>
      <w:pPr>
        <w:spacing w:after="20"/>
        <w:ind w:left="680"/>
      </w:pPr>
      <w:r>
        <w:rPr>
          <w:b/>
          <w:color w:val="595959"/>
          <w:sz w:val="18"/>
        </w:rPr>
        <w:t xml:space="preserve">Registro: </w:t>
      </w:r>
      <w:r>
        <w:rPr>
          <w:rFonts w:ascii="Calibri" w:hAnsi="Calibri"/>
          <w:color w:val="595959"/>
          <w:sz w:val="18"/>
        </w:rPr>
        <w:t>Tarjeta de Trello</w:t>
      </w:r>
    </w:p>
    <w:p>
      <w:pPr>
        <w:spacing w:after="60"/>
        <w:ind w:left="340"/>
      </w:pPr>
      <w:r>
        <w:rPr>
          <w:b/>
          <w:sz w:val="20"/>
        </w:rPr>
        <w:t xml:space="preserve">3. Publicar en el grupo de WhatsApp Renders </w:t>
      </w:r>
      <w:r>
        <w:rPr>
          <w:rFonts w:ascii="Calibri" w:hAnsi="Calibri"/>
          <w:sz w:val="20"/>
        </w:rPr>
        <w:t>· Publicar el enlace de la tarjeta como aviso formal a Ingeniería.</w:t>
      </w:r>
    </w:p>
    <w:p>
      <w:pPr>
        <w:spacing w:after="20"/>
        <w:ind w:left="680"/>
      </w:pPr>
      <w:r>
        <w:rPr>
          <w:b/>
          <w:color w:val="595959"/>
          <w:sz w:val="18"/>
        </w:rPr>
        <w:t xml:space="preserve">Responsable: </w:t>
      </w:r>
      <w:r>
        <w:rPr>
          <w:rFonts w:ascii="Calibri" w:hAnsi="Calibri"/>
          <w:color w:val="595959"/>
          <w:sz w:val="18"/>
        </w:rPr>
        <w:t>Comercial</w:t>
      </w:r>
    </w:p>
    <w:p>
      <w:pPr>
        <w:spacing w:before="160" w:after="60"/>
      </w:pPr>
      <w:r>
        <w:rPr>
          <w:b/>
          <w:color w:val="1C242E"/>
          <w:sz w:val="21"/>
        </w:rPr>
        <w:t>Fase 2. Validación y asignación</w:t>
      </w:r>
    </w:p>
    <w:p>
      <w:pPr>
        <w:spacing w:after="60"/>
        <w:ind w:left="340"/>
      </w:pPr>
      <w:r>
        <w:rPr>
          <w:b/>
          <w:sz w:val="20"/>
        </w:rPr>
        <w:t xml:space="preserve">4. Validar la completitud </w:t>
      </w:r>
      <w:r>
        <w:rPr>
          <w:rFonts w:ascii="Calibri" w:hAnsi="Calibri"/>
          <w:sz w:val="20"/>
        </w:rPr>
        <w:t>· Coordinación verifica que la tarjeta cumpla los campos mínimos. Si no cumple, la devuelve a Comercial con nota y pausa la agenda.</w:t>
      </w:r>
    </w:p>
    <w:p>
      <w:pPr>
        <w:spacing w:after="20"/>
        <w:ind w:left="680"/>
      </w:pPr>
      <w:r>
        <w:rPr>
          <w:b/>
          <w:color w:val="595959"/>
          <w:sz w:val="18"/>
        </w:rPr>
        <w:t xml:space="preserve">Responsable: </w:t>
      </w:r>
      <w:r>
        <w:rPr>
          <w:rFonts w:ascii="Calibri" w:hAnsi="Calibri"/>
          <w:color w:val="595959"/>
          <w:sz w:val="18"/>
        </w:rPr>
        <w:t>Coordinación de Ingeniería</w:t>
      </w:r>
    </w:p>
    <w:p>
      <w:pPr>
        <w:spacing w:after="20"/>
        <w:ind w:left="680"/>
      </w:pPr>
      <w:r>
        <w:rPr>
          <w:b/>
          <w:color w:val="595959"/>
          <w:sz w:val="18"/>
        </w:rPr>
        <w:t xml:space="preserve">Control: </w:t>
      </w:r>
      <w:r>
        <w:rPr>
          <w:rFonts w:ascii="Calibri" w:hAnsi="Calibri"/>
          <w:color w:val="595959"/>
          <w:sz w:val="18"/>
        </w:rPr>
        <w:t>Tarjeta completa o devolución</w:t>
      </w:r>
    </w:p>
    <w:p>
      <w:pPr>
        <w:spacing w:after="60"/>
        <w:ind w:left="340"/>
      </w:pPr>
      <w:r>
        <w:rPr>
          <w:b/>
          <w:sz w:val="20"/>
        </w:rPr>
        <w:t xml:space="preserve">5. Asignar al ingeniero </w:t>
      </w:r>
      <w:r>
        <w:rPr>
          <w:rFonts w:ascii="Calibri" w:hAnsi="Calibri"/>
          <w:sz w:val="20"/>
        </w:rPr>
        <w:t>· Coordinación asigna al ingeniero según el calendario de guardias y la disponibilidad del equipo.</w:t>
      </w:r>
    </w:p>
    <w:p>
      <w:pPr>
        <w:spacing w:after="20"/>
        <w:ind w:left="680"/>
      </w:pPr>
      <w:r>
        <w:rPr>
          <w:b/>
          <w:color w:val="595959"/>
          <w:sz w:val="18"/>
        </w:rPr>
        <w:t xml:space="preserve">Responsable: </w:t>
      </w:r>
      <w:r>
        <w:rPr>
          <w:rFonts w:ascii="Calibri" w:hAnsi="Calibri"/>
          <w:color w:val="595959"/>
          <w:sz w:val="18"/>
        </w:rPr>
        <w:t>Coordinación de Ingeniería</w:t>
      </w:r>
    </w:p>
    <w:p>
      <w:pPr>
        <w:spacing w:before="160" w:after="60"/>
      </w:pPr>
      <w:r>
        <w:rPr>
          <w:b/>
          <w:color w:val="1C242E"/>
          <w:sz w:val="21"/>
        </w:rPr>
        <w:t>Fase 3. Confirmación</w:t>
      </w:r>
    </w:p>
    <w:p>
      <w:pPr>
        <w:spacing w:after="60"/>
        <w:ind w:left="340"/>
      </w:pPr>
      <w:r>
        <w:rPr>
          <w:b/>
          <w:sz w:val="20"/>
        </w:rPr>
        <w:t xml:space="preserve">6. Handoff del día anterior </w:t>
      </w:r>
      <w:r>
        <w:rPr>
          <w:rFonts w:ascii="Calibri" w:hAnsi="Calibri"/>
          <w:sz w:val="20"/>
        </w:rPr>
        <w:t>· Ventas avisa al cliente que Ingeniería lo contactará, comparte el directorio de ingenieros y recuerda el acceso al centro de carga y al techo.</w:t>
      </w:r>
    </w:p>
    <w:p>
      <w:pPr>
        <w:spacing w:after="20"/>
        <w:ind w:left="680"/>
      </w:pPr>
      <w:r>
        <w:rPr>
          <w:b/>
          <w:color w:val="595959"/>
          <w:sz w:val="18"/>
        </w:rPr>
        <w:t xml:space="preserve">Responsable: </w:t>
      </w:r>
      <w:r>
        <w:rPr>
          <w:rFonts w:ascii="Calibri" w:hAnsi="Calibri"/>
          <w:color w:val="595959"/>
          <w:sz w:val="18"/>
        </w:rPr>
        <w:t>Comercial</w:t>
      </w:r>
    </w:p>
    <w:p>
      <w:pPr>
        <w:spacing w:after="60"/>
        <w:ind w:left="340"/>
      </w:pPr>
      <w:r>
        <w:rPr>
          <w:b/>
          <w:sz w:val="20"/>
        </w:rPr>
        <w:t xml:space="preserve">7. Confirmar la ventana de visita </w:t>
      </w:r>
      <w:r>
        <w:rPr>
          <w:rFonts w:ascii="Calibri" w:hAnsi="Calibri"/>
          <w:sz w:val="20"/>
        </w:rPr>
        <w:t>· El ingeniero contacta al cliente con al menos una hora de anticipación, por llamada y con WhatsApp como respaldo, y registra la ventana en Trello.</w:t>
      </w:r>
    </w:p>
    <w:p>
      <w:pPr>
        <w:spacing w:after="20"/>
        <w:ind w:left="680"/>
      </w:pPr>
      <w:r>
        <w:rPr>
          <w:b/>
          <w:color w:val="595959"/>
          <w:sz w:val="18"/>
        </w:rPr>
        <w:t xml:space="preserve">Responsable: </w:t>
      </w:r>
      <w:r>
        <w:rPr>
          <w:rFonts w:ascii="Calibri" w:hAnsi="Calibri"/>
          <w:color w:val="595959"/>
          <w:sz w:val="18"/>
        </w:rPr>
        <w:t>Ingeniero de campo</w:t>
      </w:r>
    </w:p>
    <w:p>
      <w:pPr>
        <w:spacing w:after="20"/>
        <w:ind w:left="680"/>
      </w:pPr>
      <w:r>
        <w:rPr>
          <w:b/>
          <w:color w:val="595959"/>
          <w:sz w:val="18"/>
        </w:rPr>
        <w:t xml:space="preserve">Registro: </w:t>
      </w:r>
      <w:r>
        <w:rPr>
          <w:rFonts w:ascii="Calibri" w:hAnsi="Calibri"/>
          <w:color w:val="595959"/>
          <w:sz w:val="18"/>
        </w:rPr>
        <w:t>Ventana registrada en Trello</w:t>
      </w:r>
    </w:p>
    <w:p>
      <w:pPr>
        <w:keepNext/>
        <w:spacing w:before="240" w:after="80"/>
        <w:pBdr>
          <w:bottom w:val="single" w:sz="8" w:color="F0E528"/>
        </w:pBdr>
      </w:pPr>
      <w:r>
        <w:rPr>
          <w:rFonts w:ascii="Georgia" w:hAnsi="Georgia"/>
          <w:b/>
          <w:color w:val="0056B4"/>
          <w:sz w:val="22"/>
        </w:rPr>
        <w:t>8. DIAGRAMA DE FLUJO</w:t>
      </w:r>
    </w:p>
    <w:p>
      <w:pPr>
        <w:jc w:val="center"/>
      </w:pPr>
      <w:r>
        <w:drawing>
          <wp:inline xmlns:a="http://schemas.openxmlformats.org/drawingml/2006/main" xmlns:pic="http://schemas.openxmlformats.org/drawingml/2006/picture">
            <wp:extent cx="3910478" cy="6840000"/>
            <wp:docPr id="2" name="Picture 2"/>
            <wp:cNvGraphicFramePr>
              <a:graphicFrameLocks noChangeAspect="1"/>
            </wp:cNvGraphicFramePr>
            <a:graphic>
              <a:graphicData uri="http://schemas.openxmlformats.org/drawingml/2006/picture">
                <pic:pic>
                  <pic:nvPicPr>
                    <pic:cNvPr id="0" name="pro-ing-01-planeacion.png"/>
                    <pic:cNvPicPr/>
                  </pic:nvPicPr>
                  <pic:blipFill>
                    <a:blip r:embed="rId11"/>
                    <a:stretch>
                      <a:fillRect/>
                    </a:stretch>
                  </pic:blipFill>
                  <pic:spPr>
                    <a:xfrm>
                      <a:off x="0" y="0"/>
                      <a:ext cx="3910478" cy="6840000"/>
                    </a:xfrm>
                    <a:prstGeom prst="rect"/>
                  </pic:spPr>
                </pic:pic>
              </a:graphicData>
            </a:graphic>
          </wp:inline>
        </w:drawing>
      </w:r>
    </w:p>
    <w:p>
      <w:pPr>
        <w:jc w:val="center"/>
      </w:pPr>
      <w:r>
        <w:rPr>
          <w:i/>
          <w:color w:val="595959"/>
          <w:sz w:val="17"/>
        </w:rPr>
        <w:t>De la detonación comercial a la confirmación de la ventana de visita.</w:t>
      </w:r>
    </w:p>
    <w:p>
      <w:pPr>
        <w:keepNext/>
        <w:spacing w:before="240" w:after="80"/>
        <w:pBdr>
          <w:bottom w:val="single" w:sz="8" w:color="F0E528"/>
        </w:pBdr>
      </w:pPr>
      <w:r>
        <w:rPr>
          <w:rFonts w:ascii="Georgia" w:hAnsi="Georgia"/>
          <w:b/>
          <w:color w:val="0056B4"/>
          <w:sz w:val="22"/>
        </w:rPr>
        <w:t>9. REGISTROS Y FORMATOS ASOCIADOS</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Pr>
      <w:tblGrid>
        <w:gridCol w:w="5100"/>
        <w:gridCol w:w="5100"/>
      </w:tblGrid>
      <w:tr>
        <w:tc>
          <w:tcPr>
            <w:tcW w:type="dxa" w:w="2856"/>
            <w:shd w:val="clear" w:fill="0056B4"/>
          </w:tcPr>
          <w:p>
            <w:pPr>
              <w:jc w:val="center"/>
            </w:pPr>
            <w:r/>
            <w:r>
              <w:rPr>
                <w:rFonts w:ascii="Calibri" w:hAnsi="Calibri"/>
                <w:b/>
                <w:color w:val="FFFFFF"/>
                <w:sz w:val="17"/>
              </w:rPr>
              <w:t>Código</w:t>
            </w:r>
          </w:p>
        </w:tc>
        <w:tc>
          <w:tcPr>
            <w:tcW w:type="dxa" w:w="7344"/>
            <w:shd w:val="clear" w:fill="0056B4"/>
          </w:tcPr>
          <w:p>
            <w:pPr>
              <w:jc w:val="center"/>
            </w:pPr>
            <w:r/>
            <w:r>
              <w:rPr>
                <w:rFonts w:ascii="Calibri" w:hAnsi="Calibri"/>
                <w:b/>
                <w:color w:val="FFFFFF"/>
                <w:sz w:val="17"/>
              </w:rPr>
              <w:t>Formato</w:t>
            </w:r>
          </w:p>
        </w:tc>
      </w:tr>
      <w:tr>
        <w:tc>
          <w:tcPr>
            <w:tcW w:type="dxa" w:w="2856"/>
          </w:tcPr>
          <w:p>
            <w:r/>
            <w:r>
              <w:rPr>
                <w:rFonts w:ascii="Calibri" w:hAnsi="Calibri"/>
                <w:b w:val="0"/>
                <w:sz w:val="19"/>
              </w:rPr>
              <w:t>Trello</w:t>
            </w:r>
          </w:p>
        </w:tc>
        <w:tc>
          <w:tcPr>
            <w:tcW w:type="dxa" w:w="7344"/>
          </w:tcPr>
          <w:p>
            <w:r/>
            <w:r>
              <w:rPr>
                <w:rFonts w:ascii="Calibri" w:hAnsi="Calibri"/>
                <w:b w:val="0"/>
                <w:sz w:val="19"/>
              </w:rPr>
              <w:t>Tarjeta de proyecto (repositorio único)</w:t>
            </w:r>
          </w:p>
        </w:tc>
      </w:tr>
    </w:tbl>
    <w:p>
      <w:pPr>
        <w:keepNext/>
        <w:spacing w:before="240" w:after="80"/>
        <w:pBdr>
          <w:bottom w:val="single" w:sz="8" w:color="F0E528"/>
        </w:pBdr>
      </w:pPr>
      <w:r>
        <w:rPr>
          <w:rFonts w:ascii="Georgia" w:hAnsi="Georgia"/>
          <w:b/>
          <w:color w:val="0056B4"/>
          <w:sz w:val="22"/>
        </w:rPr>
        <w:t>10. CONTROL DE CAMBIOS</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Pr>
      <w:tblGrid>
        <w:gridCol w:w="2550"/>
        <w:gridCol w:w="2550"/>
        <w:gridCol w:w="2550"/>
        <w:gridCol w:w="2550"/>
      </w:tblGrid>
      <w:tr>
        <w:tc>
          <w:tcPr>
            <w:tcW w:type="dxa" w:w="1224"/>
            <w:shd w:val="clear" w:fill="0056B4"/>
          </w:tcPr>
          <w:p>
            <w:pPr>
              <w:jc w:val="center"/>
            </w:pPr>
            <w:r/>
            <w:r>
              <w:rPr>
                <w:rFonts w:ascii="Calibri" w:hAnsi="Calibri"/>
                <w:b/>
                <w:color w:val="FFFFFF"/>
                <w:sz w:val="17"/>
              </w:rPr>
              <w:t>Versión</w:t>
            </w:r>
          </w:p>
        </w:tc>
        <w:tc>
          <w:tcPr>
            <w:tcW w:type="dxa" w:w="1632"/>
            <w:shd w:val="clear" w:fill="0056B4"/>
          </w:tcPr>
          <w:p>
            <w:pPr>
              <w:jc w:val="center"/>
            </w:pPr>
            <w:r/>
            <w:r>
              <w:rPr>
                <w:rFonts w:ascii="Calibri" w:hAnsi="Calibri"/>
                <w:b/>
                <w:color w:val="FFFFFF"/>
                <w:sz w:val="17"/>
              </w:rPr>
              <w:t>Fecha</w:t>
            </w:r>
          </w:p>
        </w:tc>
        <w:tc>
          <w:tcPr>
            <w:tcW w:type="dxa" w:w="5712"/>
            <w:shd w:val="clear" w:fill="0056B4"/>
          </w:tcPr>
          <w:p>
            <w:pPr>
              <w:jc w:val="center"/>
            </w:pPr>
            <w:r/>
            <w:r>
              <w:rPr>
                <w:rFonts w:ascii="Calibri" w:hAnsi="Calibri"/>
                <w:b/>
                <w:color w:val="FFFFFF"/>
                <w:sz w:val="17"/>
              </w:rPr>
              <w:t>Descripción del cambio</w:t>
            </w:r>
          </w:p>
        </w:tc>
        <w:tc>
          <w:tcPr>
            <w:tcW w:type="dxa" w:w="1632"/>
            <w:shd w:val="clear" w:fill="0056B4"/>
          </w:tcPr>
          <w:p>
            <w:pPr>
              <w:jc w:val="center"/>
            </w:pPr>
            <w:r/>
            <w:r>
              <w:rPr>
                <w:rFonts w:ascii="Calibri" w:hAnsi="Calibri"/>
                <w:b/>
                <w:color w:val="FFFFFF"/>
                <w:sz w:val="17"/>
              </w:rPr>
              <w:t>Elaboró</w:t>
            </w:r>
          </w:p>
        </w:tc>
      </w:tr>
      <w:tr>
        <w:tc>
          <w:tcPr>
            <w:tcW w:type="dxa" w:w="1224"/>
          </w:tcPr>
          <w:p>
            <w:r/>
            <w:r>
              <w:rPr>
                <w:rFonts w:ascii="Calibri" w:hAnsi="Calibri"/>
                <w:b w:val="0"/>
                <w:sz w:val="19"/>
              </w:rPr>
              <w:t>1.0</w:t>
            </w:r>
          </w:p>
        </w:tc>
        <w:tc>
          <w:tcPr>
            <w:tcW w:type="dxa" w:w="1632"/>
          </w:tcPr>
          <w:p>
            <w:r/>
            <w:r>
              <w:rPr>
                <w:rFonts w:ascii="Calibri" w:hAnsi="Calibri"/>
                <w:b w:val="0"/>
                <w:sz w:val="19"/>
              </w:rPr>
              <w:t>Septiembre 2026</w:t>
            </w:r>
          </w:p>
        </w:tc>
        <w:tc>
          <w:tcPr>
            <w:tcW w:type="dxa" w:w="5712"/>
          </w:tcPr>
          <w:p>
            <w:r/>
            <w:r>
              <w:rPr>
                <w:rFonts w:ascii="Calibri" w:hAnsi="Calibri"/>
                <w:b w:val="0"/>
                <w:sz w:val="19"/>
              </w:rPr>
              <w:t>Emisión inicial. Descompone la fase 7.1 de SOL-PROC-001 en procedimiento por área. Revisión trimestral.</w:t>
            </w:r>
          </w:p>
        </w:tc>
        <w:tc>
          <w:tcPr>
            <w:tcW w:type="dxa" w:w="1632"/>
          </w:tcPr>
          <w:p>
            <w:r/>
            <w:r>
              <w:rPr>
                <w:rFonts w:ascii="Calibri" w:hAnsi="Calibri"/>
                <w:b w:val="0"/>
                <w:sz w:val="19"/>
              </w:rPr>
              <w:t>DETA Consultores</w:t>
            </w:r>
          </w:p>
        </w:tc>
      </w:tr>
    </w:tbl>
    <w:p>
      <w:pPr>
        <w:keepNext/>
        <w:spacing w:before="240" w:after="80"/>
        <w:pBdr>
          <w:bottom w:val="single" w:sz="8" w:color="F0E528"/>
        </w:pBdr>
      </w:pPr>
      <w:r>
        <w:rPr>
          <w:rFonts w:ascii="Georgia" w:hAnsi="Georgia"/>
          <w:b/>
          <w:color w:val="0056B4"/>
          <w:sz w:val="22"/>
        </w:rPr>
        <w:t>11. CONTROL DE FIRMAS</w:t>
      </w:r>
    </w:p>
    <w:p>
      <w:pPr>
        <w:spacing w:after="120"/>
      </w:pPr>
    </w:p>
    <w:p>
      <w:pPr>
        <w:keepNext/>
        <w:spacing w:after="320"/>
      </w:pPr>
    </w:p>
    <w:tbl>
      <w:tblPr>
        <w:tblW w:type="auto" w:w="0"/>
        <w:tblLook w:firstColumn="1" w:firstRow="1" w:lastColumn="0" w:lastRow="0" w:noHBand="0" w:noVBand="1" w:val="04A0"/>
      </w:tblPr>
      <w:tblGrid>
        <w:gridCol w:w="3400"/>
        <w:gridCol w:w="3400"/>
        <w:gridCol w:w="3400"/>
      </w:tblGrid>
      <w:tr>
        <w:tc>
          <w:tcPr>
            <w:tcW w:type="dxa" w:w="3400"/>
          </w:tcPr>
          <w:p>
            <w:pPr>
              <w:jc w:val="center"/>
            </w:pPr>
            <w:r/>
            <w:r>
              <w:rPr>
                <w:sz w:val="20"/>
              </w:rPr>
              <w:t>__________________________</w:t>
            </w:r>
          </w:p>
        </w:tc>
        <w:tc>
          <w:tcPr>
            <w:tcW w:type="dxa" w:w="3400"/>
          </w:tcPr>
          <w:p>
            <w:pPr>
              <w:jc w:val="center"/>
            </w:pPr>
            <w:r/>
            <w:r>
              <w:rPr>
                <w:sz w:val="20"/>
              </w:rPr>
              <w:t>__________________________</w:t>
            </w:r>
          </w:p>
        </w:tc>
        <w:tc>
          <w:tcPr>
            <w:tcW w:type="dxa" w:w="3400"/>
          </w:tcPr>
          <w:p>
            <w:pPr>
              <w:jc w:val="center"/>
            </w:pPr>
            <w:r/>
            <w:r>
              <w:rPr>
                <w:sz w:val="20"/>
              </w:rPr>
              <w:t>__________________________</w:t>
            </w:r>
          </w:p>
        </w:tc>
      </w:tr>
      <w:tr>
        <w:tc>
          <w:tcPr>
            <w:tcW w:type="dxa" w:w="3400"/>
          </w:tcPr>
          <w:p>
            <w:pPr>
              <w:jc w:val="center"/>
            </w:pPr>
            <w:r/>
            <w:r>
              <w:rPr>
                <w:rFonts w:ascii="Calibri" w:hAnsi="Calibri"/>
                <w:b w:val="0"/>
                <w:color w:val="595959"/>
                <w:sz w:val="17"/>
              </w:rPr>
              <w:t>Elaboró</w:t>
              <w:br/>
              <w:t>DETA Consultores</w:t>
            </w:r>
          </w:p>
        </w:tc>
        <w:tc>
          <w:tcPr>
            <w:tcW w:type="dxa" w:w="3400"/>
          </w:tcPr>
          <w:p>
            <w:pPr>
              <w:jc w:val="center"/>
            </w:pPr>
            <w:r/>
            <w:r>
              <w:rPr>
                <w:rFonts w:ascii="Calibri" w:hAnsi="Calibri"/>
                <w:b w:val="0"/>
                <w:color w:val="595959"/>
                <w:sz w:val="17"/>
              </w:rPr>
              <w:t>Revisó</w:t>
              <w:br/>
              <w:t>Coordinación de Ingeniería</w:t>
            </w:r>
          </w:p>
        </w:tc>
        <w:tc>
          <w:tcPr>
            <w:tcW w:type="dxa" w:w="3400"/>
          </w:tcPr>
          <w:p>
            <w:pPr>
              <w:jc w:val="center"/>
            </w:pPr>
            <w:r/>
            <w:r>
              <w:rPr>
                <w:rFonts w:ascii="Calibri" w:hAnsi="Calibri"/>
                <w:b w:val="0"/>
                <w:color w:val="595959"/>
                <w:sz w:val="17"/>
              </w:rPr>
              <w:t>Aprobó</w:t>
              <w:br/>
              <w:t>Dirección General</w:t>
            </w:r>
          </w:p>
        </w:tc>
      </w:tr>
    </w:tbl>
    <w:sectPr w:rsidR="00FC693F" w:rsidRPr="0006063C" w:rsidSect="00034616">
      <w:footerReference w:type="default" r:id="rId9"/>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ascii="Calibri" w:hAnsi="Calibri"/>
        <w:color w:val="595959"/>
        <w:sz w:val="15"/>
      </w:rPr>
      <w:t>SolarPro · Procedimiento de Ingeniería · PRO-ING-01 V1.0</w:t>
    </w:r>
    <w:r>
      <w:tab/>
      <w:tab/>
    </w:r>
    <w:r>
      <w:rPr>
        <w:rFonts w:ascii="Calibri" w:hAnsi="Calibri"/>
        <w:color w:val="595959"/>
        <w:sz w:val="15"/>
      </w:rPr>
      <w:t>Elaboró DETA Consultores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