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0"/>
        <w:jc w:val="center"/>
      </w:pPr>
      <w:r>
        <w:drawing>
          <wp:inline xmlns:a="http://schemas.openxmlformats.org/drawingml/2006/main" xmlns:pic="http://schemas.openxmlformats.org/drawingml/2006/picture">
            <wp:extent cx="2340000" cy="768857"/>
            <wp:docPr id="1" name="Picture 1"/>
            <wp:cNvGraphicFramePr>
              <a:graphicFrameLocks noChangeAspect="1"/>
            </wp:cNvGraphicFramePr>
            <a:graphic>
              <a:graphicData uri="http://schemas.openxmlformats.org/drawingml/2006/picture">
                <pic:pic>
                  <pic:nvPicPr>
                    <pic:cNvPr id="0" name="paneles-solares-chihuahua-financiamiento-cotizacion-credito-energia-solar-cibanco-solarpro-sustainable-energy-logo.png"/>
                    <pic:cNvPicPr/>
                  </pic:nvPicPr>
                  <pic:blipFill>
                    <a:blip r:embed="rId10"/>
                    <a:stretch>
                      <a:fillRect/>
                    </a:stretch>
                  </pic:blipFill>
                  <pic:spPr>
                    <a:xfrm>
                      <a:off x="0" y="0"/>
                      <a:ext cx="2340000" cy="768857"/>
                    </a:xfrm>
                    <a:prstGeom prst="rect"/>
                  </pic:spPr>
                </pic:pic>
              </a:graphicData>
            </a:graphic>
          </wp:inline>
        </w:drawing>
      </w:r>
    </w:p>
    <w:p>
      <w:pPr>
        <w:spacing w:before="800"/>
        <w:jc w:val="center"/>
      </w:pPr>
      <w:r>
        <w:rPr>
          <w:rFonts w:ascii="Calibri" w:hAnsi="Calibri"/>
          <w:b/>
          <w:color w:val="595959"/>
          <w:sz w:val="22"/>
        </w:rPr>
        <w:t>SISTEMA DE GESTIÓN DE CALIDAD ISO 9001:2015</w:t>
      </w:r>
    </w:p>
    <w:p>
      <w:pPr>
        <w:spacing w:before="120" w:after="40"/>
        <w:jc w:val="center"/>
      </w:pPr>
      <w:r>
        <w:rPr>
          <w:rFonts w:ascii="Georgia" w:hAnsi="Georgia"/>
          <w:b/>
          <w:color w:val="0056B4"/>
          <w:sz w:val="60"/>
        </w:rPr>
        <w:t>Acciones Correctivas</w:t>
      </w:r>
    </w:p>
    <w:p>
      <w:pPr>
        <w:jc w:val="center"/>
      </w:pPr>
      <w:r>
        <w:rPr>
          <w:color w:val="F0E528"/>
          <w:sz w:val="24"/>
        </w:rPr>
        <w:t>________</w:t>
      </w:r>
    </w:p>
    <w:p>
      <w:pPr>
        <w:jc w:val="center"/>
      </w:pPr>
      <w:r>
        <w:rPr>
          <w:rFonts w:ascii="Georgia" w:hAnsi="Georgia"/>
          <w:i/>
          <w:color w:val="595959"/>
          <w:sz w:val="26"/>
        </w:rPr>
        <w:t>SolarPro · Sistema de Gestión de Calidad ISO 9001:2015</w:t>
      </w:r>
    </w:p>
    <w:p>
      <w:pPr>
        <w:spacing w:before="600"/>
        <w:jc w:val="center"/>
      </w:pPr>
      <w:r>
        <w:rPr>
          <w:b/>
          <w:color w:val="1C242E"/>
          <w:sz w:val="22"/>
        </w:rPr>
        <w:t>Soluciones Energéticas JEA S.A. de C.V. (SolarPro)</w:t>
      </w:r>
    </w:p>
    <w:p>
      <w:pPr>
        <w:jc w:val="center"/>
      </w:pPr>
      <w:r>
        <w:rPr>
          <w:color w:val="595959"/>
          <w:sz w:val="20"/>
        </w:rPr>
        <w:t>PRO-AC-001  ·  Versión 1  ·  08 de septiembre de 2026</w:t>
      </w:r>
    </w:p>
    <w:p>
      <w:pPr>
        <w:spacing w:before="120"/>
        <w:jc w:val="center"/>
      </w:pPr>
      <w:r>
        <w:rPr>
          <w:color w:val="595959"/>
          <w:sz w:val="18"/>
        </w:rPr>
        <w:t>Elaboró DETA Consultores</w:t>
      </w:r>
    </w:p>
    <w:p>
      <w:pPr>
        <w:jc w:val="center"/>
      </w:pPr>
      <w:r>
        <w:rPr>
          <w:i/>
          <w:color w:val="595959"/>
          <w:sz w:val="18"/>
        </w:rPr>
        <w:t>Borrador para validación</w:t>
      </w:r>
    </w:p>
    <w:p>
      <w:r>
        <w:br w:type="page"/>
      </w:r>
    </w:p>
    <w:p>
      <w:pPr>
        <w:keepNext/>
        <w:spacing w:before="280" w:after="80"/>
        <w:pBdr>
          <w:bottom w:val="single" w:sz="8" w:color="F0E528"/>
        </w:pBdr>
      </w:pPr>
      <w:r>
        <w:rPr>
          <w:rFonts w:ascii="Georgia" w:hAnsi="Georgia"/>
          <w:b/>
          <w:color w:val="0056B4"/>
          <w:sz w:val="26"/>
        </w:rPr>
        <w:t>CONTROL DEL DOCUMENTO</w:t>
      </w:r>
    </w:p>
    <w:tbl>
      <w:tblPr>
        <w:tblW w:type="auto" w:w="0"/>
        <w:tblLook w:firstColumn="1" w:firstRow="1" w:lastColumn="0" w:lastRow="0" w:noHBand="0" w:noVBand="1" w:val="04A0"/>
        <w:tblBorders>
          <w:top w:val="single" w:sz="4" w:color="808080"/>
          <w:left w:val="single" w:sz="4" w:color="808080"/>
          <w:bottom w:val="single" w:sz="4" w:color="808080"/>
          <w:right w:val="single" w:sz="4" w:color="808080"/>
          <w:insideH w:val="single" w:sz="4" w:color="808080"/>
          <w:insideV w:val="single" w:sz="4" w:color="808080"/>
        </w:tblBorders>
      </w:tblPr>
      <w:tblGrid>
        <w:gridCol w:w="4986"/>
        <w:gridCol w:w="4986"/>
      </w:tblGrid>
      <w:tr>
        <w:tc>
          <w:tcPr>
            <w:tcW w:type="dxa" w:w="3191"/>
            <w:shd w:val="clear" w:fill="F2F2F2"/>
          </w:tcPr>
          <w:p>
            <w:r/>
            <w:r>
              <w:rPr>
                <w:rFonts w:ascii="Calibri" w:hAnsi="Calibri"/>
                <w:b/>
                <w:sz w:val="18"/>
              </w:rPr>
              <w:t>Código</w:t>
            </w:r>
          </w:p>
        </w:tc>
        <w:tc>
          <w:tcPr>
            <w:tcW w:type="dxa" w:w="6781"/>
          </w:tcPr>
          <w:p>
            <w:r/>
            <w:r>
              <w:rPr>
                <w:rFonts w:ascii="Calibri" w:hAnsi="Calibri"/>
                <w:b w:val="0"/>
                <w:sz w:val="18"/>
              </w:rPr>
              <w:t>PRO-AC-001</w:t>
            </w:r>
          </w:p>
        </w:tc>
      </w:tr>
      <w:tr>
        <w:tc>
          <w:tcPr>
            <w:tcW w:type="dxa" w:w="3191"/>
            <w:shd w:val="clear" w:fill="F2F2F2"/>
          </w:tcPr>
          <w:p>
            <w:r/>
            <w:r>
              <w:rPr>
                <w:rFonts w:ascii="Calibri" w:hAnsi="Calibri"/>
                <w:b/>
                <w:sz w:val="18"/>
              </w:rPr>
              <w:t>Versión</w:t>
            </w:r>
          </w:p>
        </w:tc>
        <w:tc>
          <w:tcPr>
            <w:tcW w:type="dxa" w:w="6781"/>
          </w:tcPr>
          <w:p>
            <w:r/>
            <w:r>
              <w:rPr>
                <w:rFonts w:ascii="Calibri" w:hAnsi="Calibri"/>
                <w:b w:val="0"/>
                <w:sz w:val="18"/>
              </w:rPr>
              <w:t>1</w:t>
            </w:r>
          </w:p>
        </w:tc>
      </w:tr>
      <w:tr>
        <w:tc>
          <w:tcPr>
            <w:tcW w:type="dxa" w:w="3191"/>
            <w:shd w:val="clear" w:fill="F2F2F2"/>
          </w:tcPr>
          <w:p>
            <w:r/>
            <w:r>
              <w:rPr>
                <w:rFonts w:ascii="Calibri" w:hAnsi="Calibri"/>
                <w:b/>
                <w:sz w:val="18"/>
              </w:rPr>
              <w:t>Estado</w:t>
            </w:r>
          </w:p>
        </w:tc>
        <w:tc>
          <w:tcPr>
            <w:tcW w:type="dxa" w:w="6781"/>
          </w:tcPr>
          <w:p>
            <w:r/>
            <w:r>
              <w:rPr>
                <w:rFonts w:ascii="Calibri" w:hAnsi="Calibri"/>
                <w:b w:val="0"/>
                <w:sz w:val="18"/>
              </w:rPr>
              <w:t>Borrador para validación</w:t>
            </w:r>
          </w:p>
        </w:tc>
      </w:tr>
      <w:tr>
        <w:tc>
          <w:tcPr>
            <w:tcW w:type="dxa" w:w="3191"/>
            <w:shd w:val="clear" w:fill="F2F2F2"/>
          </w:tcPr>
          <w:p>
            <w:r/>
            <w:r>
              <w:rPr>
                <w:rFonts w:ascii="Calibri" w:hAnsi="Calibri"/>
                <w:b/>
                <w:sz w:val="18"/>
              </w:rPr>
              <w:t>Fecha de emisión</w:t>
            </w:r>
          </w:p>
        </w:tc>
        <w:tc>
          <w:tcPr>
            <w:tcW w:type="dxa" w:w="6781"/>
          </w:tcPr>
          <w:p>
            <w:r/>
            <w:r>
              <w:rPr>
                <w:rFonts w:ascii="Calibri" w:hAnsi="Calibri"/>
                <w:b w:val="0"/>
                <w:sz w:val="18"/>
              </w:rPr>
              <w:t>08 de septiembre de 2026</w:t>
            </w:r>
          </w:p>
        </w:tc>
      </w:tr>
      <w:tr>
        <w:tc>
          <w:tcPr>
            <w:tcW w:type="dxa" w:w="3191"/>
            <w:shd w:val="clear" w:fill="F2F2F2"/>
          </w:tcPr>
          <w:p>
            <w:r/>
            <w:r>
              <w:rPr>
                <w:rFonts w:ascii="Calibri" w:hAnsi="Calibri"/>
                <w:b/>
                <w:sz w:val="18"/>
              </w:rPr>
              <w:t>Fecha de revisión</w:t>
            </w:r>
          </w:p>
        </w:tc>
        <w:tc>
          <w:tcPr>
            <w:tcW w:type="dxa" w:w="6781"/>
          </w:tcPr>
          <w:p>
            <w:r/>
            <w:r>
              <w:rPr>
                <w:rFonts w:ascii="Calibri" w:hAnsi="Calibri"/>
                <w:b w:val="0"/>
                <w:sz w:val="18"/>
              </w:rPr>
              <w:t>Septiembre 2027</w:t>
            </w:r>
          </w:p>
        </w:tc>
      </w:tr>
      <w:tr>
        <w:tc>
          <w:tcPr>
            <w:tcW w:type="dxa" w:w="3191"/>
            <w:shd w:val="clear" w:fill="F2F2F2"/>
          </w:tcPr>
          <w:p>
            <w:r/>
            <w:r>
              <w:rPr>
                <w:rFonts w:ascii="Calibri" w:hAnsi="Calibri"/>
                <w:b/>
                <w:sz w:val="18"/>
              </w:rPr>
              <w:t>Custodio del documento</w:t>
            </w:r>
          </w:p>
        </w:tc>
        <w:tc>
          <w:tcPr>
            <w:tcW w:type="dxa" w:w="6781"/>
          </w:tcPr>
          <w:p>
            <w:r/>
            <w:r>
              <w:rPr>
                <w:rFonts w:ascii="Calibri" w:hAnsi="Calibri"/>
                <w:b w:val="0"/>
                <w:sz w:val="18"/>
              </w:rPr>
              <w:t>Gerencia Administrativa (Responsable interno del SGC)</w:t>
            </w:r>
          </w:p>
        </w:tc>
      </w:tr>
      <w:tr>
        <w:tc>
          <w:tcPr>
            <w:tcW w:type="dxa" w:w="3191"/>
            <w:shd w:val="clear" w:fill="F2F2F2"/>
          </w:tcPr>
          <w:p>
            <w:r/>
            <w:r>
              <w:rPr>
                <w:rFonts w:ascii="Calibri" w:hAnsi="Calibri"/>
                <w:b/>
                <w:sz w:val="18"/>
              </w:rPr>
              <w:t>Elabora</w:t>
            </w:r>
          </w:p>
        </w:tc>
        <w:tc>
          <w:tcPr>
            <w:tcW w:type="dxa" w:w="6781"/>
          </w:tcPr>
          <w:p>
            <w:r/>
            <w:r>
              <w:rPr>
                <w:rFonts w:ascii="Calibri" w:hAnsi="Calibri"/>
                <w:b w:val="0"/>
                <w:sz w:val="18"/>
              </w:rPr>
              <w:t>DETA Consultores</w:t>
            </w:r>
          </w:p>
        </w:tc>
      </w:tr>
      <w:tr>
        <w:tc>
          <w:tcPr>
            <w:tcW w:type="dxa" w:w="3191"/>
            <w:shd w:val="clear" w:fill="F2F2F2"/>
          </w:tcPr>
          <w:p>
            <w:r/>
            <w:r>
              <w:rPr>
                <w:rFonts w:ascii="Calibri" w:hAnsi="Calibri"/>
                <w:b/>
                <w:sz w:val="18"/>
              </w:rPr>
              <w:t>Revisa</w:t>
            </w:r>
          </w:p>
        </w:tc>
        <w:tc>
          <w:tcPr>
            <w:tcW w:type="dxa" w:w="6781"/>
          </w:tcPr>
          <w:p>
            <w:r/>
            <w:r>
              <w:rPr>
                <w:rFonts w:ascii="Calibri" w:hAnsi="Calibri"/>
                <w:b w:val="0"/>
                <w:sz w:val="18"/>
              </w:rPr>
              <w:t>Gerencia Administrativa</w:t>
            </w:r>
          </w:p>
        </w:tc>
      </w:tr>
      <w:tr>
        <w:tc>
          <w:tcPr>
            <w:tcW w:type="dxa" w:w="3191"/>
            <w:shd w:val="clear" w:fill="F2F2F2"/>
          </w:tcPr>
          <w:p>
            <w:r/>
            <w:r>
              <w:rPr>
                <w:rFonts w:ascii="Calibri" w:hAnsi="Calibri"/>
                <w:b/>
                <w:sz w:val="18"/>
              </w:rPr>
              <w:t>Aprueba</w:t>
            </w:r>
          </w:p>
        </w:tc>
        <w:tc>
          <w:tcPr>
            <w:tcW w:type="dxa" w:w="6781"/>
          </w:tcPr>
          <w:p>
            <w:r/>
            <w:r>
              <w:rPr>
                <w:rFonts w:ascii="Calibri" w:hAnsi="Calibri"/>
                <w:b w:val="0"/>
                <w:sz w:val="18"/>
              </w:rPr>
              <w:t>Dirección General</w:t>
            </w:r>
          </w:p>
        </w:tc>
      </w:tr>
      <w:tr>
        <w:tc>
          <w:tcPr>
            <w:tcW w:type="dxa" w:w="3191"/>
            <w:shd w:val="clear" w:fill="F2F2F2"/>
          </w:tcPr>
          <w:p>
            <w:r/>
            <w:r>
              <w:rPr>
                <w:rFonts w:ascii="Calibri" w:hAnsi="Calibri"/>
                <w:b/>
                <w:sz w:val="18"/>
              </w:rPr>
              <w:t>Clasificación</w:t>
            </w:r>
          </w:p>
        </w:tc>
        <w:tc>
          <w:tcPr>
            <w:tcW w:type="dxa" w:w="6781"/>
          </w:tcPr>
          <w:p>
            <w:r/>
            <w:r>
              <w:rPr>
                <w:rFonts w:ascii="Calibri" w:hAnsi="Calibri"/>
                <w:b w:val="0"/>
                <w:sz w:val="18"/>
              </w:rPr>
              <w:t>Interno</w:t>
            </w:r>
          </w:p>
        </w:tc>
      </w:tr>
      <w:tr>
        <w:tc>
          <w:tcPr>
            <w:tcW w:type="dxa" w:w="3191"/>
            <w:shd w:val="clear" w:fill="F2F2F2"/>
          </w:tcPr>
          <w:p>
            <w:r/>
            <w:r>
              <w:rPr>
                <w:rFonts w:ascii="Calibri" w:hAnsi="Calibri"/>
                <w:b/>
                <w:sz w:val="18"/>
              </w:rPr>
              <w:t>Razón social</w:t>
            </w:r>
          </w:p>
        </w:tc>
        <w:tc>
          <w:tcPr>
            <w:tcW w:type="dxa" w:w="6781"/>
          </w:tcPr>
          <w:p>
            <w:r/>
            <w:r>
              <w:rPr>
                <w:rFonts w:ascii="Calibri" w:hAnsi="Calibri"/>
                <w:b w:val="0"/>
                <w:sz w:val="18"/>
              </w:rPr>
              <w:t>Soluciones Energéticas JEA S.A. de C.V. (SolarPro)</w:t>
            </w:r>
          </w:p>
        </w:tc>
      </w:tr>
      <w:tr>
        <w:tc>
          <w:tcPr>
            <w:tcW w:type="dxa" w:w="3191"/>
            <w:shd w:val="clear" w:fill="F2F2F2"/>
          </w:tcPr>
          <w:p>
            <w:r/>
            <w:r>
              <w:rPr>
                <w:rFonts w:ascii="Calibri" w:hAnsi="Calibri"/>
                <w:b/>
                <w:sz w:val="18"/>
              </w:rPr>
              <w:t>RFC</w:t>
            </w:r>
          </w:p>
        </w:tc>
        <w:tc>
          <w:tcPr>
            <w:tcW w:type="dxa" w:w="6781"/>
          </w:tcPr>
          <w:p>
            <w:r/>
            <w:r>
              <w:rPr>
                <w:rFonts w:ascii="Calibri" w:hAnsi="Calibri"/>
                <w:b w:val="0"/>
                <w:sz w:val="18"/>
              </w:rPr>
              <w:t>SEJ151105UV7</w:t>
            </w:r>
          </w:p>
        </w:tc>
      </w:tr>
      <w:tr>
        <w:tc>
          <w:tcPr>
            <w:tcW w:type="dxa" w:w="3191"/>
            <w:shd w:val="clear" w:fill="F2F2F2"/>
          </w:tcPr>
          <w:p>
            <w:r/>
            <w:r>
              <w:rPr>
                <w:rFonts w:ascii="Calibri" w:hAnsi="Calibri"/>
                <w:b/>
                <w:sz w:val="18"/>
              </w:rPr>
              <w:t>Sitios cubiertos</w:t>
            </w:r>
          </w:p>
        </w:tc>
        <w:tc>
          <w:tcPr>
            <w:tcW w:type="dxa" w:w="6781"/>
          </w:tcPr>
          <w:p>
            <w:r/>
            <w:r>
              <w:rPr>
                <w:rFonts w:ascii="Calibri" w:hAnsi="Calibri"/>
                <w:b w:val="0"/>
                <w:sz w:val="18"/>
              </w:rPr>
              <w:t>Matriz Chihuahua; operación Ciudad Juárez</w:t>
            </w:r>
          </w:p>
        </w:tc>
      </w:tr>
    </w:tbl>
    <w:p>
      <w:pPr>
        <w:keepNext/>
        <w:spacing w:before="280" w:after="80"/>
        <w:pBdr>
          <w:bottom w:val="single" w:sz="8" w:color="F0E528"/>
        </w:pBdr>
      </w:pPr>
      <w:r>
        <w:rPr>
          <w:rFonts w:ascii="Georgia" w:hAnsi="Georgia"/>
          <w:b/>
          <w:color w:val="0056B4"/>
          <w:sz w:val="26"/>
        </w:rPr>
        <w:t>HISTORIAL DE REVISIONES</w:t>
      </w:r>
    </w:p>
    <w:tbl>
      <w:tblPr>
        <w:tblW w:type="auto" w:w="0"/>
        <w:tblLook w:firstColumn="1" w:firstRow="1" w:lastColumn="0" w:lastRow="0" w:noHBand="0" w:noVBand="1" w:val="04A0"/>
        <w:tblBorders>
          <w:top w:val="single" w:sz="4" w:color="404040"/>
          <w:left w:val="single" w:sz="4" w:color="404040"/>
          <w:bottom w:val="single" w:sz="4" w:color="404040"/>
          <w:right w:val="single" w:sz="4" w:color="404040"/>
          <w:insideH w:val="single" w:sz="4" w:color="404040"/>
          <w:insideV w:val="single" w:sz="4" w:color="404040"/>
        </w:tblBorders>
      </w:tblPr>
      <w:tblGrid>
        <w:gridCol w:w="2493"/>
        <w:gridCol w:w="2493"/>
        <w:gridCol w:w="2493"/>
        <w:gridCol w:w="2493"/>
      </w:tblGrid>
      <w:tr>
        <w:tc>
          <w:tcPr>
            <w:tcW w:type="dxa" w:w="1197"/>
            <w:shd w:val="clear" w:fill="0056B4"/>
          </w:tcPr>
          <w:p>
            <w:pPr>
              <w:jc w:val="center"/>
            </w:pPr>
            <w:r/>
            <w:r>
              <w:rPr>
                <w:rFonts w:ascii="Calibri" w:hAnsi="Calibri"/>
                <w:b/>
                <w:color w:val="FFFFFF"/>
                <w:sz w:val="17"/>
              </w:rPr>
              <w:t>Versión</w:t>
            </w:r>
          </w:p>
        </w:tc>
        <w:tc>
          <w:tcPr>
            <w:tcW w:type="dxa" w:w="1596"/>
            <w:shd w:val="clear" w:fill="0056B4"/>
          </w:tcPr>
          <w:p>
            <w:pPr>
              <w:jc w:val="center"/>
            </w:pPr>
            <w:r/>
            <w:r>
              <w:rPr>
                <w:rFonts w:ascii="Calibri" w:hAnsi="Calibri"/>
                <w:b/>
                <w:color w:val="FFFFFF"/>
                <w:sz w:val="17"/>
              </w:rPr>
              <w:t>Fecha</w:t>
            </w:r>
          </w:p>
        </w:tc>
        <w:tc>
          <w:tcPr>
            <w:tcW w:type="dxa" w:w="5584"/>
            <w:shd w:val="clear" w:fill="0056B4"/>
          </w:tcPr>
          <w:p>
            <w:pPr>
              <w:jc w:val="center"/>
            </w:pPr>
            <w:r/>
            <w:r>
              <w:rPr>
                <w:rFonts w:ascii="Calibri" w:hAnsi="Calibri"/>
                <w:b/>
                <w:color w:val="FFFFFF"/>
                <w:sz w:val="17"/>
              </w:rPr>
              <w:t>Descripción del cambio</w:t>
            </w:r>
          </w:p>
        </w:tc>
        <w:tc>
          <w:tcPr>
            <w:tcW w:type="dxa" w:w="1596"/>
            <w:shd w:val="clear" w:fill="0056B4"/>
          </w:tcPr>
          <w:p>
            <w:pPr>
              <w:jc w:val="center"/>
            </w:pPr>
            <w:r/>
            <w:r>
              <w:rPr>
                <w:rFonts w:ascii="Calibri" w:hAnsi="Calibri"/>
                <w:b/>
                <w:color w:val="FFFFFF"/>
                <w:sz w:val="17"/>
              </w:rPr>
              <w:t>Elaboró</w:t>
            </w:r>
          </w:p>
        </w:tc>
      </w:tr>
      <w:tr>
        <w:tc>
          <w:tcPr>
            <w:tcW w:type="dxa" w:w="1197"/>
          </w:tcPr>
          <w:p>
            <w:r/>
            <w:r>
              <w:rPr>
                <w:rFonts w:ascii="Calibri" w:hAnsi="Calibri"/>
                <w:b w:val="0"/>
                <w:sz w:val="19"/>
              </w:rPr>
              <w:t>1</w:t>
            </w:r>
          </w:p>
        </w:tc>
        <w:tc>
          <w:tcPr>
            <w:tcW w:type="dxa" w:w="1596"/>
          </w:tcPr>
          <w:p>
            <w:r/>
            <w:r>
              <w:rPr>
                <w:rFonts w:ascii="Calibri" w:hAnsi="Calibri"/>
                <w:b w:val="0"/>
                <w:sz w:val="19"/>
              </w:rPr>
              <w:t>08 de septiembre de 2026</w:t>
            </w:r>
          </w:p>
        </w:tc>
        <w:tc>
          <w:tcPr>
            <w:tcW w:type="dxa" w:w="5584"/>
          </w:tcPr>
          <w:p>
            <w:r/>
            <w:r>
              <w:rPr>
                <w:rFonts w:ascii="Calibri" w:hAnsi="Calibri"/>
                <w:b w:val="0"/>
                <w:sz w:val="19"/>
              </w:rPr>
              <w:t>Emisión inicial del procedimiento de Acciones Correctivas, cláusula 10.2 de ISO 9001:2015.</w:t>
            </w:r>
          </w:p>
        </w:tc>
        <w:tc>
          <w:tcPr>
            <w:tcW w:type="dxa" w:w="1596"/>
          </w:tcPr>
          <w:p>
            <w:r/>
            <w:r>
              <w:rPr>
                <w:rFonts w:ascii="Calibri" w:hAnsi="Calibri"/>
                <w:b w:val="0"/>
                <w:sz w:val="19"/>
              </w:rPr>
              <w:t>DETA Consultores</w:t>
            </w:r>
          </w:p>
        </w:tc>
      </w:tr>
    </w:tbl>
    <w:p>
      <w:pPr>
        <w:keepNext/>
        <w:spacing w:before="280" w:after="80"/>
        <w:pBdr>
          <w:bottom w:val="single" w:sz="8" w:color="F0E528"/>
        </w:pBdr>
      </w:pPr>
      <w:r>
        <w:rPr>
          <w:rFonts w:ascii="Georgia" w:hAnsi="Georgia"/>
          <w:b/>
          <w:color w:val="0056B4"/>
          <w:sz w:val="26"/>
        </w:rPr>
        <w:t>CONTENIDO</w:t>
      </w:r>
    </w:p>
    <w:p>
      <w:pPr>
        <w:spacing w:after="40"/>
      </w:pPr>
      <w:r>
        <w:rPr>
          <w:rFonts w:ascii="Calibri" w:hAnsi="Calibri"/>
          <w:color w:val="1C242E"/>
          <w:sz w:val="20"/>
        </w:rPr>
        <w:t>1. Objetivo</w:t>
      </w:r>
    </w:p>
    <w:p>
      <w:pPr>
        <w:spacing w:after="40"/>
      </w:pPr>
      <w:r>
        <w:rPr>
          <w:rFonts w:ascii="Calibri" w:hAnsi="Calibri"/>
          <w:color w:val="1C242E"/>
          <w:sz w:val="20"/>
        </w:rPr>
        <w:t>2. Alcance</w:t>
      </w:r>
    </w:p>
    <w:p>
      <w:pPr>
        <w:spacing w:after="40"/>
      </w:pPr>
      <w:r>
        <w:rPr>
          <w:rFonts w:ascii="Calibri" w:hAnsi="Calibri"/>
          <w:color w:val="1C242E"/>
          <w:sz w:val="20"/>
        </w:rPr>
        <w:t>3. Definiciones y abreviaturas</w:t>
      </w:r>
    </w:p>
    <w:p>
      <w:pPr>
        <w:spacing w:after="40"/>
      </w:pPr>
      <w:r>
        <w:rPr>
          <w:rFonts w:ascii="Calibri" w:hAnsi="Calibri"/>
          <w:color w:val="1C242E"/>
          <w:sz w:val="20"/>
        </w:rPr>
        <w:t>4. Documentos de referencia</w:t>
      </w:r>
    </w:p>
    <w:p>
      <w:pPr>
        <w:spacing w:after="40"/>
      </w:pPr>
      <w:r>
        <w:rPr>
          <w:rFonts w:ascii="Calibri" w:hAnsi="Calibri"/>
          <w:color w:val="1C242E"/>
          <w:sz w:val="20"/>
        </w:rPr>
        <w:t>5. Políticas de acción correctiva</w:t>
      </w:r>
    </w:p>
    <w:p>
      <w:pPr>
        <w:spacing w:after="40"/>
      </w:pPr>
      <w:r>
        <w:rPr>
          <w:rFonts w:ascii="Calibri" w:hAnsi="Calibri"/>
          <w:color w:val="1C242E"/>
          <w:sz w:val="20"/>
        </w:rPr>
        <w:t>6. Responsabilidades</w:t>
      </w:r>
    </w:p>
    <w:p>
      <w:pPr>
        <w:spacing w:after="40"/>
      </w:pPr>
      <w:r>
        <w:rPr>
          <w:rFonts w:ascii="Calibri" w:hAnsi="Calibri"/>
          <w:color w:val="1C242E"/>
          <w:sz w:val="20"/>
        </w:rPr>
        <w:t>7. Fuentes de no conformidad</w:t>
      </w:r>
    </w:p>
    <w:p>
      <w:pPr>
        <w:spacing w:after="40"/>
      </w:pPr>
      <w:r>
        <w:rPr>
          <w:rFonts w:ascii="Calibri" w:hAnsi="Calibri"/>
          <w:color w:val="1C242E"/>
          <w:sz w:val="20"/>
        </w:rPr>
        <w:t>8. Descripción del procedimiento</w:t>
      </w:r>
    </w:p>
    <w:p>
      <w:pPr>
        <w:spacing w:after="40"/>
      </w:pPr>
      <w:r>
        <w:rPr>
          <w:rFonts w:ascii="Calibri" w:hAnsi="Calibri"/>
          <w:color w:val="1C242E"/>
          <w:sz w:val="20"/>
        </w:rPr>
        <w:t>9. Análisis de causa raíz (cinco porqués)</w:t>
      </w:r>
    </w:p>
    <w:p>
      <w:pPr>
        <w:spacing w:after="40"/>
      </w:pPr>
      <w:r>
        <w:rPr>
          <w:rFonts w:ascii="Calibri" w:hAnsi="Calibri"/>
          <w:color w:val="1C242E"/>
          <w:sz w:val="20"/>
        </w:rPr>
        <w:t>10. Verificación de eficacia post-implementación</w:t>
      </w:r>
    </w:p>
    <w:p>
      <w:pPr>
        <w:spacing w:after="40"/>
      </w:pPr>
      <w:r>
        <w:rPr>
          <w:rFonts w:ascii="Calibri" w:hAnsi="Calibri"/>
          <w:color w:val="1C242E"/>
          <w:sz w:val="20"/>
        </w:rPr>
        <w:t>11. Escalamiento a mejora y actualización de riesgos</w:t>
      </w:r>
    </w:p>
    <w:p>
      <w:pPr>
        <w:spacing w:after="40"/>
      </w:pPr>
      <w:r>
        <w:rPr>
          <w:rFonts w:ascii="Calibri" w:hAnsi="Calibri"/>
          <w:color w:val="1C242E"/>
          <w:sz w:val="20"/>
        </w:rPr>
        <w:t>12. Registros</w:t>
      </w:r>
    </w:p>
    <w:p>
      <w:r>
        <w:br w:type="page"/>
      </w:r>
    </w:p>
    <w:p>
      <w:pPr>
        <w:keepNext/>
        <w:spacing w:before="280" w:after="80"/>
        <w:pBdr>
          <w:bottom w:val="single" w:sz="8" w:color="F0E528"/>
        </w:pBdr>
      </w:pPr>
      <w:r>
        <w:rPr>
          <w:rFonts w:ascii="Georgia" w:hAnsi="Georgia"/>
          <w:b/>
          <w:color w:val="0056B4"/>
          <w:sz w:val="26"/>
        </w:rPr>
        <w:t>1. Objetivo</w:t>
      </w:r>
    </w:p>
    <w:p>
      <w:pPr>
        <w:spacing w:after="120"/>
      </w:pPr>
      <w:r>
        <w:rPr>
          <w:rFonts w:ascii="Calibri" w:hAnsi="Calibri"/>
          <w:color w:val="1C242E"/>
          <w:sz w:val="21"/>
        </w:rPr>
        <w:t>Establecer la forma en que SolarPro reacciona ante una no conformidad, controla y corrige su efecto inmediato, analiza su causa raíz, define e implementa la acción correctiva que evita su recurrencia y verifica la eficacia de esa acción, conforme a la cláusula 10.2 de la norma ISO 9001:2015. El procedimiento cierra la brecha detectada en el diagnóstico y en la sección 10.2 del Manual de Calidad MC-SP-01, según la cual, ante un problema recurrente, hoy se tiende a resolver el síntoma y no toda queja o falla queda documentada.</w:t>
      </w:r>
    </w:p>
    <w:p>
      <w:pPr>
        <w:keepNext/>
        <w:spacing w:before="280" w:after="80"/>
        <w:pBdr>
          <w:bottom w:val="single" w:sz="8" w:color="F0E528"/>
        </w:pBdr>
      </w:pPr>
      <w:r>
        <w:rPr>
          <w:rFonts w:ascii="Georgia" w:hAnsi="Georgia"/>
          <w:b/>
          <w:color w:val="0056B4"/>
          <w:sz w:val="26"/>
        </w:rPr>
        <w:t>2. Alcance</w:t>
      </w:r>
    </w:p>
    <w:p>
      <w:pPr>
        <w:spacing w:after="120"/>
      </w:pPr>
      <w:r>
        <w:rPr>
          <w:rFonts w:ascii="Calibri" w:hAnsi="Calibri"/>
          <w:color w:val="1C242E"/>
          <w:sz w:val="21"/>
        </w:rPr>
        <w:t>Aplica a toda no conformidad del Sistema de Gestión de Calidad en la matriz de Chihuahua y en la operación de Ciudad Juárez, en cualquiera de sus procesos: comercial, ingeniería, instalación, encendido, postventa y administración. Incluye las no conformidades detectadas en quejas del cliente, fallas y retrabajos de postventa, salidas no conformes, hallazgos de auditoría interna, incumplimiento de objetivos e indicadores, evaluación de proveedores y riesgos materializados de la matriz. Cubre desde la detección de la no conformidad hasta el cierre con eficacia verificada.</w:t>
      </w:r>
    </w:p>
    <w:tbl>
      <w:tblPr>
        <w:tblW w:type="auto" w:w="0"/>
        <w:tblLook w:firstColumn="1" w:firstRow="1" w:lastColumn="0" w:lastRow="0" w:noHBand="0" w:noVBand="1" w:val="04A0"/>
        <w:tblBorders>
          <w:left w:val="single" w:sz="16" w:color="F0E528"/>
        </w:tblBorders>
      </w:tblPr>
      <w:tblGrid>
        <w:gridCol w:w="9972"/>
      </w:tblGrid>
      <w:tr>
        <w:tc>
          <w:tcPr>
            <w:tcW w:type="dxa" w:w="9972"/>
            <w:shd w:val="clear" w:fill="FFF9DB"/>
          </w:tcPr>
          <w:p>
            <w:r/>
            <w:r>
              <w:rPr>
                <w:rFonts w:ascii="Calibri" w:hAnsi="Calibri"/>
                <w:b w:val="0"/>
                <w:color w:val="003D80"/>
                <w:sz w:val="17"/>
              </w:rPr>
              <w:t>Este procedimiento se centra en la acción correctiva (eliminar la causa para evitar la recurrencia). El control de la salida no conforme del momento se rige por la sección 8.7 del Manual MC-SP-01; la mejora continua planeada, sin no conformidad de por medio, se rige por la sección 10.3.</w:t>
            </w:r>
          </w:p>
        </w:tc>
      </w:tr>
    </w:tbl>
    <w:p>
      <w:pPr>
        <w:spacing w:after="40"/>
      </w:pPr>
    </w:p>
    <w:p>
      <w:pPr>
        <w:keepNext/>
        <w:spacing w:before="280" w:after="80"/>
        <w:pBdr>
          <w:bottom w:val="single" w:sz="8" w:color="F0E528"/>
        </w:pBdr>
      </w:pPr>
      <w:r>
        <w:rPr>
          <w:rFonts w:ascii="Georgia" w:hAnsi="Georgia"/>
          <w:b/>
          <w:color w:val="0056B4"/>
          <w:sz w:val="26"/>
        </w:rPr>
        <w:t>3. Definiciones y abreviaturas</w:t>
      </w:r>
    </w:p>
    <w:tbl>
      <w:tblPr>
        <w:tblW w:type="auto" w:w="0"/>
        <w:tblLook w:firstColumn="1" w:firstRow="1" w:lastColumn="0" w:lastRow="0" w:noHBand="0" w:noVBand="1" w:val="04A0"/>
        <w:tblBorders>
          <w:top w:val="single" w:sz="4" w:color="404040"/>
          <w:left w:val="single" w:sz="4" w:color="404040"/>
          <w:bottom w:val="single" w:sz="4" w:color="404040"/>
          <w:right w:val="single" w:sz="4" w:color="404040"/>
          <w:insideH w:val="single" w:sz="4" w:color="404040"/>
          <w:insideV w:val="single" w:sz="4" w:color="404040"/>
        </w:tblBorders>
      </w:tblPr>
      <w:tblGrid>
        <w:gridCol w:w="4986"/>
        <w:gridCol w:w="4986"/>
      </w:tblGrid>
      <w:tr>
        <w:tc>
          <w:tcPr>
            <w:tcW w:type="dxa" w:w="2992"/>
            <w:shd w:val="clear" w:fill="0056B4"/>
          </w:tcPr>
          <w:p>
            <w:pPr>
              <w:jc w:val="center"/>
            </w:pPr>
            <w:r/>
            <w:r>
              <w:rPr>
                <w:rFonts w:ascii="Calibri" w:hAnsi="Calibri"/>
                <w:b/>
                <w:color w:val="FFFFFF"/>
                <w:sz w:val="17"/>
              </w:rPr>
              <w:t>Término</w:t>
            </w:r>
          </w:p>
        </w:tc>
        <w:tc>
          <w:tcPr>
            <w:tcW w:type="dxa" w:w="6980"/>
            <w:shd w:val="clear" w:fill="0056B4"/>
          </w:tcPr>
          <w:p>
            <w:pPr>
              <w:jc w:val="center"/>
            </w:pPr>
            <w:r/>
            <w:r>
              <w:rPr>
                <w:rFonts w:ascii="Calibri" w:hAnsi="Calibri"/>
                <w:b/>
                <w:color w:val="FFFFFF"/>
                <w:sz w:val="17"/>
              </w:rPr>
              <w:t>Definición</w:t>
            </w:r>
          </w:p>
        </w:tc>
      </w:tr>
      <w:tr>
        <w:tc>
          <w:tcPr>
            <w:tcW w:type="dxa" w:w="2992"/>
          </w:tcPr>
          <w:p>
            <w:r/>
            <w:r>
              <w:rPr>
                <w:rFonts w:ascii="Calibri" w:hAnsi="Calibri"/>
                <w:b w:val="0"/>
                <w:sz w:val="19"/>
              </w:rPr>
              <w:t>No conformidad (NC)</w:t>
            </w:r>
          </w:p>
        </w:tc>
        <w:tc>
          <w:tcPr>
            <w:tcW w:type="dxa" w:w="6980"/>
          </w:tcPr>
          <w:p>
            <w:r/>
            <w:r>
              <w:rPr>
                <w:rFonts w:ascii="Calibri" w:hAnsi="Calibri"/>
                <w:b w:val="0"/>
                <w:sz w:val="19"/>
              </w:rPr>
              <w:t>Incumplimiento de un requisito del cliente, legal, de la norma o del propio SGC.</w:t>
            </w:r>
          </w:p>
        </w:tc>
      </w:tr>
      <w:tr>
        <w:tc>
          <w:tcPr>
            <w:tcW w:type="dxa" w:w="2992"/>
          </w:tcPr>
          <w:p>
            <w:r/>
            <w:r>
              <w:rPr>
                <w:rFonts w:ascii="Calibri" w:hAnsi="Calibri"/>
                <w:b w:val="0"/>
                <w:sz w:val="19"/>
              </w:rPr>
              <w:t>No conformidad relevante</w:t>
            </w:r>
          </w:p>
        </w:tc>
        <w:tc>
          <w:tcPr>
            <w:tcW w:type="dxa" w:w="6980"/>
          </w:tcPr>
          <w:p>
            <w:r/>
            <w:r>
              <w:rPr>
                <w:rFonts w:ascii="Calibri" w:hAnsi="Calibri"/>
                <w:b w:val="0"/>
                <w:sz w:val="19"/>
              </w:rPr>
              <w:t>No conformidad que afecta al cliente, a la seguridad, al cumplimiento legal, o que es recurrente; obliga a analizar la causa raíz.</w:t>
            </w:r>
          </w:p>
        </w:tc>
      </w:tr>
      <w:tr>
        <w:tc>
          <w:tcPr>
            <w:tcW w:type="dxa" w:w="2992"/>
          </w:tcPr>
          <w:p>
            <w:r/>
            <w:r>
              <w:rPr>
                <w:rFonts w:ascii="Calibri" w:hAnsi="Calibri"/>
                <w:b w:val="0"/>
                <w:sz w:val="19"/>
              </w:rPr>
              <w:t>Corrección o corrección inmediata</w:t>
            </w:r>
          </w:p>
        </w:tc>
        <w:tc>
          <w:tcPr>
            <w:tcW w:type="dxa" w:w="6980"/>
          </w:tcPr>
          <w:p>
            <w:r/>
            <w:r>
              <w:rPr>
                <w:rFonts w:ascii="Calibri" w:hAnsi="Calibri"/>
                <w:b w:val="0"/>
                <w:sz w:val="19"/>
              </w:rPr>
              <w:t>Acción para eliminar el efecto de una no conformidad detectada, es decir contener o reparar el problema del momento. No elimina la causa.</w:t>
            </w:r>
          </w:p>
        </w:tc>
      </w:tr>
      <w:tr>
        <w:tc>
          <w:tcPr>
            <w:tcW w:type="dxa" w:w="2992"/>
          </w:tcPr>
          <w:p>
            <w:r/>
            <w:r>
              <w:rPr>
                <w:rFonts w:ascii="Calibri" w:hAnsi="Calibri"/>
                <w:b w:val="0"/>
                <w:sz w:val="19"/>
              </w:rPr>
              <w:t>Acción correctiva</w:t>
            </w:r>
          </w:p>
        </w:tc>
        <w:tc>
          <w:tcPr>
            <w:tcW w:type="dxa" w:w="6980"/>
          </w:tcPr>
          <w:p>
            <w:r/>
            <w:r>
              <w:rPr>
                <w:rFonts w:ascii="Calibri" w:hAnsi="Calibri"/>
                <w:b w:val="0"/>
                <w:sz w:val="19"/>
              </w:rPr>
              <w:t>Acción para eliminar la causa de una no conformidad y evitar que vuelva a ocurrir, conforme a la cláusula 10.2 de ISO 9001:2015.</w:t>
            </w:r>
          </w:p>
        </w:tc>
      </w:tr>
      <w:tr>
        <w:tc>
          <w:tcPr>
            <w:tcW w:type="dxa" w:w="2992"/>
          </w:tcPr>
          <w:p>
            <w:r/>
            <w:r>
              <w:rPr>
                <w:rFonts w:ascii="Calibri" w:hAnsi="Calibri"/>
                <w:b w:val="0"/>
                <w:sz w:val="19"/>
              </w:rPr>
              <w:t>Causa raíz</w:t>
            </w:r>
          </w:p>
        </w:tc>
        <w:tc>
          <w:tcPr>
            <w:tcW w:type="dxa" w:w="6980"/>
          </w:tcPr>
          <w:p>
            <w:r/>
            <w:r>
              <w:rPr>
                <w:rFonts w:ascii="Calibri" w:hAnsi="Calibri"/>
                <w:b w:val="0"/>
                <w:sz w:val="19"/>
              </w:rPr>
              <w:t>Causa fundamental que, al eliminarse, evita la recurrencia de la no conformidad.</w:t>
            </w:r>
          </w:p>
        </w:tc>
      </w:tr>
      <w:tr>
        <w:tc>
          <w:tcPr>
            <w:tcW w:type="dxa" w:w="2992"/>
          </w:tcPr>
          <w:p>
            <w:r/>
            <w:r>
              <w:rPr>
                <w:rFonts w:ascii="Calibri" w:hAnsi="Calibri"/>
                <w:b w:val="0"/>
                <w:sz w:val="19"/>
              </w:rPr>
              <w:t>Cinco porqués</w:t>
            </w:r>
          </w:p>
        </w:tc>
        <w:tc>
          <w:tcPr>
            <w:tcW w:type="dxa" w:w="6980"/>
          </w:tcPr>
          <w:p>
            <w:r/>
            <w:r>
              <w:rPr>
                <w:rFonts w:ascii="Calibri" w:hAnsi="Calibri"/>
                <w:b w:val="0"/>
                <w:sz w:val="19"/>
              </w:rPr>
              <w:t>Técnica de análisis que pregunta de forma sucesiva por qué ocurrió cada hecho, hasta llegar a la causa raíz.</w:t>
            </w:r>
          </w:p>
        </w:tc>
      </w:tr>
      <w:tr>
        <w:tc>
          <w:tcPr>
            <w:tcW w:type="dxa" w:w="2992"/>
          </w:tcPr>
          <w:p>
            <w:r/>
            <w:r>
              <w:rPr>
                <w:rFonts w:ascii="Calibri" w:hAnsi="Calibri"/>
                <w:b w:val="0"/>
                <w:sz w:val="19"/>
              </w:rPr>
              <w:t>Verificación de eficacia</w:t>
            </w:r>
          </w:p>
        </w:tc>
        <w:tc>
          <w:tcPr>
            <w:tcW w:type="dxa" w:w="6980"/>
          </w:tcPr>
          <w:p>
            <w:r/>
            <w:r>
              <w:rPr>
                <w:rFonts w:ascii="Calibri" w:hAnsi="Calibri"/>
                <w:b w:val="0"/>
                <w:sz w:val="19"/>
              </w:rPr>
              <w:t>Comprobación, después de implementar la acción, de que la causa se eliminó y la no conformidad no reincide, contra un criterio medible.</w:t>
            </w:r>
          </w:p>
        </w:tc>
      </w:tr>
      <w:tr>
        <w:tc>
          <w:tcPr>
            <w:tcW w:type="dxa" w:w="2992"/>
          </w:tcPr>
          <w:p>
            <w:r/>
            <w:r>
              <w:rPr>
                <w:rFonts w:ascii="Calibri" w:hAnsi="Calibri"/>
                <w:b w:val="0"/>
                <w:sz w:val="19"/>
              </w:rPr>
              <w:t>SAC</w:t>
            </w:r>
          </w:p>
        </w:tc>
        <w:tc>
          <w:tcPr>
            <w:tcW w:type="dxa" w:w="6980"/>
          </w:tcPr>
          <w:p>
            <w:r/>
            <w:r>
              <w:rPr>
                <w:rFonts w:ascii="Calibri" w:hAnsi="Calibri"/>
                <w:b w:val="0"/>
                <w:sz w:val="19"/>
              </w:rPr>
              <w:t>Solicitud de Acción Correctiva; es el registro FOR-AC-01 que documenta el caso de principio a fin.</w:t>
            </w:r>
          </w:p>
        </w:tc>
      </w:tr>
      <w:tr>
        <w:tc>
          <w:tcPr>
            <w:tcW w:type="dxa" w:w="2992"/>
          </w:tcPr>
          <w:p>
            <w:r/>
            <w:r>
              <w:rPr>
                <w:rFonts w:ascii="Calibri" w:hAnsi="Calibri"/>
                <w:b w:val="0"/>
                <w:sz w:val="19"/>
              </w:rPr>
              <w:t>Recurrencia</w:t>
            </w:r>
          </w:p>
        </w:tc>
        <w:tc>
          <w:tcPr>
            <w:tcW w:type="dxa" w:w="6980"/>
          </w:tcPr>
          <w:p>
            <w:r/>
            <w:r>
              <w:rPr>
                <w:rFonts w:ascii="Calibri" w:hAnsi="Calibri"/>
                <w:b w:val="0"/>
                <w:sz w:val="19"/>
              </w:rPr>
              <w:t>Repetición de una no conformidad del mismo tipo o del mismo modo de falla.</w:t>
            </w:r>
          </w:p>
        </w:tc>
      </w:tr>
      <w:tr>
        <w:tc>
          <w:tcPr>
            <w:tcW w:type="dxa" w:w="2992"/>
          </w:tcPr>
          <w:p>
            <w:r/>
            <w:r>
              <w:rPr>
                <w:rFonts w:ascii="Calibri" w:hAnsi="Calibri"/>
                <w:b w:val="0"/>
                <w:sz w:val="19"/>
              </w:rPr>
              <w:t>Trello</w:t>
            </w:r>
          </w:p>
        </w:tc>
        <w:tc>
          <w:tcPr>
            <w:tcW w:type="dxa" w:w="6980"/>
          </w:tcPr>
          <w:p>
            <w:r/>
            <w:r>
              <w:rPr>
                <w:rFonts w:ascii="Calibri" w:hAnsi="Calibri"/>
                <w:b w:val="0"/>
                <w:sz w:val="19"/>
              </w:rPr>
              <w:t>Repositorio único del proyecto y del SGC donde se conserva el registro con su folio.</w:t>
            </w:r>
          </w:p>
        </w:tc>
      </w:tr>
    </w:tbl>
    <w:p>
      <w:pPr>
        <w:keepNext/>
        <w:spacing w:before="280" w:after="80"/>
        <w:pBdr>
          <w:bottom w:val="single" w:sz="8" w:color="F0E528"/>
        </w:pBdr>
      </w:pPr>
      <w:r>
        <w:rPr>
          <w:rFonts w:ascii="Georgia" w:hAnsi="Georgia"/>
          <w:b/>
          <w:color w:val="0056B4"/>
          <w:sz w:val="26"/>
        </w:rPr>
        <w:t>4. Documentos de referencia</w:t>
      </w:r>
    </w:p>
    <w:p>
      <w:pPr>
        <w:pStyle w:val="ListBullet"/>
      </w:pPr>
      <w:r>
        <w:rPr>
          <w:rFonts w:ascii="Calibri" w:hAnsi="Calibri"/>
          <w:sz w:val="20"/>
        </w:rPr>
        <w:t>ISO 9001:2015, cláusulas 8.7 Control de salidas no conformes, 10.1 Generalidades, 10.2 No conformidad y acción correctiva, y 10.3 Mejora continua.</w:t>
      </w:r>
    </w:p>
    <w:p>
      <w:pPr>
        <w:pStyle w:val="ListBullet"/>
      </w:pPr>
      <w:r>
        <w:rPr>
          <w:rFonts w:ascii="Calibri" w:hAnsi="Calibri"/>
          <w:sz w:val="20"/>
        </w:rPr>
        <w:t>Manual de Calidad MC-SP-01, secciones 8.7, 9.1 Seguimiento, medición y satisfacción, 9.2 Auditoría interna, 9.3 Revisión por la dirección, 10.1, 10.2 y 10.3.</w:t>
      </w:r>
    </w:p>
    <w:p>
      <w:pPr>
        <w:pStyle w:val="ListBullet"/>
      </w:pPr>
      <w:r>
        <w:rPr>
          <w:rFonts w:ascii="Calibri" w:hAnsi="Calibri"/>
          <w:sz w:val="20"/>
        </w:rPr>
        <w:t>FOR-AC-01 Solicitud de Acción Correctiva.</w:t>
      </w:r>
    </w:p>
    <w:p>
      <w:pPr>
        <w:pStyle w:val="ListBullet"/>
      </w:pPr>
      <w:r>
        <w:rPr>
          <w:rFonts w:ascii="Calibri" w:hAnsi="Calibri"/>
          <w:sz w:val="20"/>
        </w:rPr>
        <w:t>PRO-COM-001 Comunicación con el Cliente y FOR-COM-01 Registro de Quejas y Retroalimentación del Cliente.</w:t>
      </w:r>
    </w:p>
    <w:p>
      <w:pPr>
        <w:pStyle w:val="ListBullet"/>
      </w:pPr>
      <w:r>
        <w:rPr>
          <w:rFonts w:ascii="Calibri" w:hAnsi="Calibri"/>
          <w:sz w:val="20"/>
        </w:rPr>
        <w:t>PRO-PVM-01 Recepción de Tickets y Análisis Preliminar y PRO-PVM-05 Garantías y Lecciones Aprendidas.</w:t>
      </w:r>
    </w:p>
    <w:p>
      <w:pPr>
        <w:pStyle w:val="ListBullet"/>
      </w:pPr>
      <w:r>
        <w:rPr>
          <w:rFonts w:ascii="Calibri" w:hAnsi="Calibri"/>
          <w:sz w:val="20"/>
        </w:rPr>
        <w:t>PRG-AUD-001 Auditoría Interna.</w:t>
      </w:r>
    </w:p>
    <w:p>
      <w:pPr>
        <w:pStyle w:val="ListBullet"/>
      </w:pPr>
      <w:r>
        <w:rPr>
          <w:rFonts w:ascii="Calibri" w:hAnsi="Calibri"/>
          <w:sz w:val="20"/>
        </w:rPr>
        <w:t>PLA-MED-001 Plan de Seguimiento y Medición.</w:t>
      </w:r>
    </w:p>
    <w:p>
      <w:pPr>
        <w:pStyle w:val="ListBullet"/>
      </w:pPr>
      <w:r>
        <w:rPr>
          <w:rFonts w:ascii="Calibri" w:hAnsi="Calibri"/>
          <w:sz w:val="20"/>
        </w:rPr>
        <w:t>PRO-PRV-001 Procedimiento de Proveedores y FOR-PRV-01 Evaluación y Reevaluación de Proveedor.</w:t>
      </w:r>
    </w:p>
    <w:p>
      <w:pPr>
        <w:pStyle w:val="ListBullet"/>
      </w:pPr>
      <w:r>
        <w:rPr>
          <w:rFonts w:ascii="Calibri" w:hAnsi="Calibri"/>
          <w:sz w:val="20"/>
        </w:rPr>
        <w:t>MAT-RIE-001 Matriz de Riesgos y Oportunidades.</w:t>
      </w:r>
    </w:p>
    <w:p>
      <w:pPr>
        <w:pStyle w:val="ListBullet"/>
      </w:pPr>
      <w:r>
        <w:rPr>
          <w:rFonts w:ascii="Calibri" w:hAnsi="Calibri"/>
          <w:sz w:val="20"/>
        </w:rPr>
        <w:t>NOM-SGC-001 Nombramiento del Responsable del SGC.</w:t>
      </w:r>
    </w:p>
    <w:p>
      <w:pPr>
        <w:keepNext/>
        <w:spacing w:before="280" w:after="80"/>
        <w:pBdr>
          <w:bottom w:val="single" w:sz="8" w:color="F0E528"/>
        </w:pBdr>
      </w:pPr>
      <w:r>
        <w:rPr>
          <w:rFonts w:ascii="Georgia" w:hAnsi="Georgia"/>
          <w:b/>
          <w:color w:val="0056B4"/>
          <w:sz w:val="26"/>
        </w:rPr>
        <w:t>5. Políticas de acción correctiva</w:t>
      </w:r>
    </w:p>
    <w:p>
      <w:pPr>
        <w:pStyle w:val="ListNumber"/>
      </w:pPr>
      <w:r>
        <w:rPr>
          <w:b/>
          <w:sz w:val="20"/>
        </w:rPr>
        <w:t xml:space="preserve">Toda no conformidad se documenta. </w:t>
      </w:r>
      <w:r>
        <w:rPr>
          <w:rFonts w:ascii="Calibri" w:hAnsi="Calibri"/>
          <w:sz w:val="20"/>
        </w:rPr>
        <w:t>Ninguna queja, falla o hallazgo se atiende sin abrir la SAC FOR-AC-01 con folio. Sin registro no existe para el sistema; así se cierra la brecha de la sección 10.2 del Manual MC-SP-01.</w:t>
      </w:r>
    </w:p>
    <w:p>
      <w:pPr>
        <w:pStyle w:val="ListNumber"/>
      </w:pPr>
      <w:r>
        <w:rPr>
          <w:b/>
          <w:sz w:val="20"/>
        </w:rPr>
        <w:t xml:space="preserve">Primero contener, luego eliminar la causa. </w:t>
      </w:r>
      <w:r>
        <w:rPr>
          <w:rFonts w:ascii="Calibri" w:hAnsi="Calibri"/>
          <w:sz w:val="20"/>
        </w:rPr>
        <w:t>Primero se aplica la corrección inmediata para proteger al cliente y contener el efecto; después se analiza la causa raíz. La corrección no sustituye a la acción correctiva.</w:t>
      </w:r>
    </w:p>
    <w:p>
      <w:pPr>
        <w:pStyle w:val="ListNumber"/>
      </w:pPr>
      <w:r>
        <w:rPr>
          <w:b/>
          <w:sz w:val="20"/>
        </w:rPr>
        <w:t xml:space="preserve">Causa raíz para lo relevante. </w:t>
      </w:r>
      <w:r>
        <w:rPr>
          <w:rFonts w:ascii="Calibri" w:hAnsi="Calibri"/>
          <w:sz w:val="20"/>
        </w:rPr>
        <w:t>Las no conformidades relevantes o recurrentes se analizan con la técnica de los cinco porqués o una equivalente. No se cierra un caso atacando solo el síntoma.</w:t>
      </w:r>
    </w:p>
    <w:p>
      <w:pPr>
        <w:pStyle w:val="ListNumber"/>
      </w:pPr>
      <w:r>
        <w:rPr>
          <w:b/>
          <w:sz w:val="20"/>
        </w:rPr>
        <w:t xml:space="preserve">Una causa, al menos una acción. </w:t>
      </w:r>
      <w:r>
        <w:rPr>
          <w:rFonts w:ascii="Calibri" w:hAnsi="Calibri"/>
          <w:sz w:val="20"/>
        </w:rPr>
        <w:t>Cada causa raíz genera al menos una acción correctiva con responsable y fecha compromiso definidos.</w:t>
      </w:r>
    </w:p>
    <w:p>
      <w:pPr>
        <w:pStyle w:val="ListNumber"/>
      </w:pPr>
      <w:r>
        <w:rPr>
          <w:b/>
          <w:sz w:val="20"/>
        </w:rPr>
        <w:t xml:space="preserve">Eficacia verificada antes de cerrar. </w:t>
      </w:r>
      <w:r>
        <w:rPr>
          <w:rFonts w:ascii="Calibri" w:hAnsi="Calibri"/>
          <w:sz w:val="20"/>
        </w:rPr>
        <w:t>Ninguna acción correctiva se cierra sin verificar su eficacia post-implementación contra un criterio medible. Si no es eficaz, el caso se reabre.</w:t>
      </w:r>
    </w:p>
    <w:p>
      <w:pPr>
        <w:pStyle w:val="ListNumber"/>
      </w:pPr>
      <w:r>
        <w:rPr>
          <w:b/>
          <w:sz w:val="20"/>
        </w:rPr>
        <w:t xml:space="preserve">Actualización de riesgos. </w:t>
      </w:r>
      <w:r>
        <w:rPr>
          <w:rFonts w:ascii="Calibri" w:hAnsi="Calibri"/>
          <w:sz w:val="20"/>
        </w:rPr>
        <w:t>Toda no conformidad relevante actualiza la matriz de riesgos y oportunidades MAT-RIE-001, conforme al inciso e de la cláusula 10.2.</w:t>
      </w:r>
    </w:p>
    <w:p>
      <w:pPr>
        <w:pStyle w:val="ListNumber"/>
      </w:pPr>
      <w:r>
        <w:rPr>
          <w:b/>
          <w:sz w:val="20"/>
        </w:rPr>
        <w:t xml:space="preserve">Proporcionalidad. </w:t>
      </w:r>
      <w:r>
        <w:rPr>
          <w:rFonts w:ascii="Calibri" w:hAnsi="Calibri"/>
          <w:sz w:val="20"/>
        </w:rPr>
        <w:t>El esfuerzo de la acción correctiva es proporcional a los efectos de la no conformidad y a su recurrencia.</w:t>
      </w:r>
    </w:p>
    <w:p>
      <w:pPr>
        <w:pStyle w:val="ListNumber"/>
      </w:pPr>
      <w:r>
        <w:rPr>
          <w:b/>
          <w:sz w:val="20"/>
        </w:rPr>
        <w:t xml:space="preserve">Trazabilidad en Trello. </w:t>
      </w:r>
      <w:r>
        <w:rPr>
          <w:rFonts w:ascii="Calibri" w:hAnsi="Calibri"/>
          <w:sz w:val="20"/>
        </w:rPr>
        <w:t>El registro y su evidencia se conservan en Trello, repositorio único, y en el hub del SGC, para su consulta en la revisión por la dirección y en auditoría.</w:t>
      </w:r>
    </w:p>
    <w:p>
      <w:pPr>
        <w:keepNext/>
        <w:spacing w:before="280" w:after="80"/>
        <w:pBdr>
          <w:bottom w:val="single" w:sz="8" w:color="F0E528"/>
        </w:pBdr>
      </w:pPr>
      <w:r>
        <w:rPr>
          <w:rFonts w:ascii="Georgia" w:hAnsi="Georgia"/>
          <w:b/>
          <w:color w:val="0056B4"/>
          <w:sz w:val="26"/>
        </w:rPr>
        <w:t>6. Responsabilidades</w:t>
      </w:r>
    </w:p>
    <w:tbl>
      <w:tblPr>
        <w:tblW w:type="auto" w:w="0"/>
        <w:tblLook w:firstColumn="1" w:firstRow="1" w:lastColumn="0" w:lastRow="0" w:noHBand="0" w:noVBand="1" w:val="04A0"/>
        <w:tblBorders>
          <w:top w:val="single" w:sz="4" w:color="404040"/>
          <w:left w:val="single" w:sz="4" w:color="404040"/>
          <w:bottom w:val="single" w:sz="4" w:color="404040"/>
          <w:right w:val="single" w:sz="4" w:color="404040"/>
          <w:insideH w:val="single" w:sz="4" w:color="404040"/>
          <w:insideV w:val="single" w:sz="4" w:color="404040"/>
        </w:tblBorders>
      </w:tblPr>
      <w:tblGrid>
        <w:gridCol w:w="4986"/>
        <w:gridCol w:w="4986"/>
      </w:tblGrid>
      <w:tr>
        <w:tc>
          <w:tcPr>
            <w:tcW w:type="dxa" w:w="3191"/>
            <w:shd w:val="clear" w:fill="0056B4"/>
          </w:tcPr>
          <w:p>
            <w:pPr>
              <w:jc w:val="center"/>
            </w:pPr>
            <w:r/>
            <w:r>
              <w:rPr>
                <w:rFonts w:ascii="Calibri" w:hAnsi="Calibri"/>
                <w:b/>
                <w:color w:val="FFFFFF"/>
                <w:sz w:val="17"/>
              </w:rPr>
              <w:t>Rol</w:t>
            </w:r>
          </w:p>
        </w:tc>
        <w:tc>
          <w:tcPr>
            <w:tcW w:type="dxa" w:w="6781"/>
            <w:shd w:val="clear" w:fill="0056B4"/>
          </w:tcPr>
          <w:p>
            <w:pPr>
              <w:jc w:val="center"/>
            </w:pPr>
            <w:r/>
            <w:r>
              <w:rPr>
                <w:rFonts w:ascii="Calibri" w:hAnsi="Calibri"/>
                <w:b/>
                <w:color w:val="FFFFFF"/>
                <w:sz w:val="17"/>
              </w:rPr>
              <w:t>Responsabilidades en la acción correctiva</w:t>
            </w:r>
          </w:p>
        </w:tc>
      </w:tr>
      <w:tr>
        <w:tc>
          <w:tcPr>
            <w:tcW w:type="dxa" w:w="3191"/>
          </w:tcPr>
          <w:p>
            <w:r/>
            <w:r>
              <w:rPr>
                <w:rFonts w:ascii="Calibri" w:hAnsi="Calibri"/>
                <w:b w:val="0"/>
                <w:sz w:val="19"/>
              </w:rPr>
              <w:t>Cualquier colaborador</w:t>
            </w:r>
          </w:p>
        </w:tc>
        <w:tc>
          <w:tcPr>
            <w:tcW w:type="dxa" w:w="6781"/>
          </w:tcPr>
          <w:p>
            <w:r/>
            <w:r>
              <w:rPr>
                <w:rFonts w:ascii="Calibri" w:hAnsi="Calibri"/>
                <w:b w:val="0"/>
                <w:sz w:val="19"/>
              </w:rPr>
              <w:t>Detectar y reportar la no conformidad, y aplicar la corrección inmediata que esté a su alcance.</w:t>
            </w:r>
          </w:p>
        </w:tc>
      </w:tr>
      <w:tr>
        <w:tc>
          <w:tcPr>
            <w:tcW w:type="dxa" w:w="3191"/>
          </w:tcPr>
          <w:p>
            <w:r/>
            <w:r>
              <w:rPr>
                <w:rFonts w:ascii="Calibri" w:hAnsi="Calibri"/>
                <w:b w:val="0"/>
                <w:sz w:val="19"/>
              </w:rPr>
              <w:t>Coordinación del área donde ocurre la NC</w:t>
            </w:r>
          </w:p>
        </w:tc>
        <w:tc>
          <w:tcPr>
            <w:tcW w:type="dxa" w:w="6781"/>
          </w:tcPr>
          <w:p>
            <w:r/>
            <w:r>
              <w:rPr>
                <w:rFonts w:ascii="Calibri" w:hAnsi="Calibri"/>
                <w:b w:val="0"/>
                <w:sz w:val="19"/>
              </w:rPr>
              <w:t>Ejecutar la corrección inmediata, participar en el análisis de causa raíz e implementar la acción correctiva en su ámbito, con la evidencia.</w:t>
            </w:r>
          </w:p>
        </w:tc>
      </w:tr>
      <w:tr>
        <w:tc>
          <w:tcPr>
            <w:tcW w:type="dxa" w:w="3191"/>
          </w:tcPr>
          <w:p>
            <w:r/>
            <w:r>
              <w:rPr>
                <w:rFonts w:ascii="Calibri" w:hAnsi="Calibri"/>
                <w:b w:val="0"/>
                <w:sz w:val="19"/>
              </w:rPr>
              <w:t>Coordinación de Postventa</w:t>
            </w:r>
          </w:p>
        </w:tc>
        <w:tc>
          <w:tcPr>
            <w:tcW w:type="dxa" w:w="6781"/>
          </w:tcPr>
          <w:p>
            <w:r/>
            <w:r>
              <w:rPr>
                <w:rFonts w:ascii="Calibri" w:hAnsi="Calibri"/>
                <w:b w:val="0"/>
                <w:sz w:val="19"/>
              </w:rPr>
              <w:t>Canalizar las quejas y las fallas del cliente conforme a FOR-COM-01 y PRO-PVM-01, y detonar la SAC cuando el caso lo requiera.</w:t>
            </w:r>
          </w:p>
        </w:tc>
      </w:tr>
      <w:tr>
        <w:tc>
          <w:tcPr>
            <w:tcW w:type="dxa" w:w="3191"/>
          </w:tcPr>
          <w:p>
            <w:r/>
            <w:r>
              <w:rPr>
                <w:rFonts w:ascii="Calibri" w:hAnsi="Calibri"/>
                <w:b w:val="0"/>
                <w:sz w:val="19"/>
              </w:rPr>
              <w:t>Responsable interno del SGC (Gerencia Administrativa)</w:t>
            </w:r>
          </w:p>
        </w:tc>
        <w:tc>
          <w:tcPr>
            <w:tcW w:type="dxa" w:w="6781"/>
          </w:tcPr>
          <w:p>
            <w:r/>
            <w:r>
              <w:rPr>
                <w:rFonts w:ascii="Calibri" w:hAnsi="Calibri"/>
                <w:b w:val="0"/>
                <w:sz w:val="19"/>
              </w:rPr>
              <w:t>Abrir y foliar la SAC, coordinar el análisis de causa raíz, mantener el listado de acciones correctivas, verificar la eficacia y cerrar el caso.</w:t>
            </w:r>
          </w:p>
        </w:tc>
      </w:tr>
      <w:tr>
        <w:tc>
          <w:tcPr>
            <w:tcW w:type="dxa" w:w="3191"/>
          </w:tcPr>
          <w:p>
            <w:r/>
            <w:r>
              <w:rPr>
                <w:rFonts w:ascii="Calibri" w:hAnsi="Calibri"/>
                <w:b w:val="0"/>
                <w:sz w:val="19"/>
              </w:rPr>
              <w:t>Comité de Calidad</w:t>
            </w:r>
          </w:p>
        </w:tc>
        <w:tc>
          <w:tcPr>
            <w:tcW w:type="dxa" w:w="6781"/>
          </w:tcPr>
          <w:p>
            <w:r/>
            <w:r>
              <w:rPr>
                <w:rFonts w:ascii="Calibri" w:hAnsi="Calibri"/>
                <w:b w:val="0"/>
                <w:sz w:val="19"/>
              </w:rPr>
              <w:t>Revisar el estado de las acciones correctivas en la revisión por la dirección, con cadencia trimestral, y autorizar los recursos o cambios relevantes que la acción requiera.</w:t>
            </w:r>
          </w:p>
        </w:tc>
      </w:tr>
      <w:tr>
        <w:tc>
          <w:tcPr>
            <w:tcW w:type="dxa" w:w="3191"/>
          </w:tcPr>
          <w:p>
            <w:r/>
            <w:r>
              <w:rPr>
                <w:rFonts w:ascii="Calibri" w:hAnsi="Calibri"/>
                <w:b w:val="0"/>
                <w:sz w:val="19"/>
              </w:rPr>
              <w:t>Dirección General</w:t>
            </w:r>
          </w:p>
        </w:tc>
        <w:tc>
          <w:tcPr>
            <w:tcW w:type="dxa" w:w="6781"/>
          </w:tcPr>
          <w:p>
            <w:r/>
            <w:r>
              <w:rPr>
                <w:rFonts w:ascii="Calibri" w:hAnsi="Calibri"/>
                <w:b w:val="0"/>
                <w:sz w:val="19"/>
              </w:rPr>
              <w:t>Aprobar el procedimiento, proveer los recursos y respaldar la disciplina de documentar y cerrar toda no conformidad.</w:t>
            </w:r>
          </w:p>
        </w:tc>
      </w:tr>
    </w:tbl>
    <w:tbl>
      <w:tblPr>
        <w:tblW w:type="auto" w:w="0"/>
        <w:tblLook w:firstColumn="1" w:firstRow="1" w:lastColumn="0" w:lastRow="0" w:noHBand="0" w:noVBand="1" w:val="04A0"/>
        <w:tblBorders>
          <w:left w:val="single" w:sz="16" w:color="F0E528"/>
        </w:tblBorders>
      </w:tblPr>
      <w:tblGrid>
        <w:gridCol w:w="9972"/>
      </w:tblGrid>
      <w:tr>
        <w:tc>
          <w:tcPr>
            <w:tcW w:type="dxa" w:w="9972"/>
            <w:shd w:val="clear" w:fill="FFF9DB"/>
          </w:tcPr>
          <w:p>
            <w:r/>
            <w:r>
              <w:rPr>
                <w:rFonts w:ascii="Calibri" w:hAnsi="Calibri"/>
                <w:b w:val="0"/>
                <w:color w:val="003D80"/>
                <w:sz w:val="17"/>
              </w:rPr>
              <w:t>El Comité de Calidad se integra por la Dirección General, la Gerencia Comercial, la Gerencia Administrativa, la Coordinación de Ingeniería y la Coordinación de Instalaciones, conforme a la sección 5.3 del Manual MC-SP-01. La coordinación del SGC recae en la Gerencia Administrativa, según el nombramiento NOM-SGC-001.</w:t>
            </w:r>
          </w:p>
        </w:tc>
      </w:tr>
    </w:tbl>
    <w:p>
      <w:pPr>
        <w:spacing w:after="40"/>
      </w:pPr>
    </w:p>
    <w:p>
      <w:pPr>
        <w:keepNext/>
        <w:spacing w:before="280" w:after="80"/>
        <w:pBdr>
          <w:bottom w:val="single" w:sz="8" w:color="F0E528"/>
        </w:pBdr>
      </w:pPr>
      <w:r>
        <w:rPr>
          <w:rFonts w:ascii="Georgia" w:hAnsi="Georgia"/>
          <w:b/>
          <w:color w:val="0056B4"/>
          <w:sz w:val="26"/>
        </w:rPr>
        <w:t>7. Fuentes de no conformidad</w:t>
      </w:r>
    </w:p>
    <w:p>
      <w:pPr>
        <w:spacing w:after="120"/>
      </w:pPr>
      <w:r>
        <w:rPr>
          <w:rFonts w:ascii="Calibri" w:hAnsi="Calibri"/>
          <w:color w:val="1C242E"/>
          <w:sz w:val="21"/>
        </w:rPr>
        <w:t>Una no conformidad puede originarse en cualquiera de las siguientes fuentes. Cada fuente canaliza el caso al registro FOR-AC-01 cuando amerita acción correctiva.</w:t>
      </w:r>
    </w:p>
    <w:tbl>
      <w:tblPr>
        <w:tblW w:type="auto" w:w="0"/>
        <w:tblLook w:firstColumn="1" w:firstRow="1" w:lastColumn="0" w:lastRow="0" w:noHBand="0" w:noVBand="1" w:val="04A0"/>
        <w:tblBorders>
          <w:top w:val="single" w:sz="4" w:color="404040"/>
          <w:left w:val="single" w:sz="4" w:color="404040"/>
          <w:bottom w:val="single" w:sz="4" w:color="404040"/>
          <w:right w:val="single" w:sz="4" w:color="404040"/>
          <w:insideH w:val="single" w:sz="4" w:color="404040"/>
          <w:insideV w:val="single" w:sz="4" w:color="404040"/>
        </w:tblBorders>
      </w:tblPr>
      <w:tblGrid>
        <w:gridCol w:w="3324"/>
        <w:gridCol w:w="3324"/>
        <w:gridCol w:w="3324"/>
      </w:tblGrid>
      <w:tr>
        <w:tc>
          <w:tcPr>
            <w:tcW w:type="dxa" w:w="2792"/>
            <w:shd w:val="clear" w:fill="0056B4"/>
          </w:tcPr>
          <w:p>
            <w:pPr>
              <w:jc w:val="center"/>
            </w:pPr>
            <w:r/>
            <w:r>
              <w:rPr>
                <w:rFonts w:ascii="Calibri" w:hAnsi="Calibri"/>
                <w:b/>
                <w:color w:val="FFFFFF"/>
                <w:sz w:val="17"/>
              </w:rPr>
              <w:t>Fuente</w:t>
            </w:r>
          </w:p>
        </w:tc>
        <w:tc>
          <w:tcPr>
            <w:tcW w:type="dxa" w:w="4188"/>
            <w:shd w:val="clear" w:fill="0056B4"/>
          </w:tcPr>
          <w:p>
            <w:pPr>
              <w:jc w:val="center"/>
            </w:pPr>
            <w:r/>
            <w:r>
              <w:rPr>
                <w:rFonts w:ascii="Calibri" w:hAnsi="Calibri"/>
                <w:b/>
                <w:color w:val="FFFFFF"/>
                <w:sz w:val="17"/>
              </w:rPr>
              <w:t>Ejemplo</w:t>
            </w:r>
          </w:p>
        </w:tc>
        <w:tc>
          <w:tcPr>
            <w:tcW w:type="dxa" w:w="2992"/>
            <w:shd w:val="clear" w:fill="0056B4"/>
          </w:tcPr>
          <w:p>
            <w:pPr>
              <w:jc w:val="center"/>
            </w:pPr>
            <w:r/>
            <w:r>
              <w:rPr>
                <w:rFonts w:ascii="Calibri" w:hAnsi="Calibri"/>
                <w:b/>
                <w:color w:val="FFFFFF"/>
                <w:sz w:val="17"/>
              </w:rPr>
              <w:t>Documento o canal de origen</w:t>
            </w:r>
          </w:p>
        </w:tc>
      </w:tr>
      <w:tr>
        <w:tc>
          <w:tcPr>
            <w:tcW w:type="dxa" w:w="2792"/>
          </w:tcPr>
          <w:p>
            <w:r/>
            <w:r>
              <w:rPr>
                <w:rFonts w:ascii="Calibri" w:hAnsi="Calibri"/>
                <w:b w:val="0"/>
                <w:sz w:val="19"/>
              </w:rPr>
              <w:t>Queja o reclamación del cliente</w:t>
            </w:r>
          </w:p>
        </w:tc>
        <w:tc>
          <w:tcPr>
            <w:tcW w:type="dxa" w:w="4188"/>
          </w:tcPr>
          <w:p>
            <w:r/>
            <w:r>
              <w:rPr>
                <w:rFonts w:ascii="Calibri" w:hAnsi="Calibri"/>
                <w:b w:val="0"/>
                <w:sz w:val="19"/>
              </w:rPr>
              <w:t>Insatisfacción, incumplimiento de la promesa de ahorro o de tiempos</w:t>
            </w:r>
          </w:p>
        </w:tc>
        <w:tc>
          <w:tcPr>
            <w:tcW w:type="dxa" w:w="2992"/>
          </w:tcPr>
          <w:p>
            <w:r/>
            <w:r>
              <w:rPr>
                <w:rFonts w:ascii="Calibri" w:hAnsi="Calibri"/>
                <w:b w:val="0"/>
                <w:sz w:val="19"/>
              </w:rPr>
              <w:t>FOR-COM-01, PRO-COM-001</w:t>
            </w:r>
          </w:p>
        </w:tc>
      </w:tr>
      <w:tr>
        <w:tc>
          <w:tcPr>
            <w:tcW w:type="dxa" w:w="2792"/>
          </w:tcPr>
          <w:p>
            <w:r/>
            <w:r>
              <w:rPr>
                <w:rFonts w:ascii="Calibri" w:hAnsi="Calibri"/>
                <w:b w:val="0"/>
                <w:sz w:val="19"/>
              </w:rPr>
              <w:t>Falla o retrabajo de postventa</w:t>
            </w:r>
          </w:p>
        </w:tc>
        <w:tc>
          <w:tcPr>
            <w:tcW w:type="dxa" w:w="4188"/>
          </w:tcPr>
          <w:p>
            <w:r/>
            <w:r>
              <w:rPr>
                <w:rFonts w:ascii="Calibri" w:hAnsi="Calibri"/>
                <w:b w:val="0"/>
                <w:sz w:val="19"/>
              </w:rPr>
              <w:t>Falla del sistema instalado, retrabajo en garantía</w:t>
            </w:r>
          </w:p>
        </w:tc>
        <w:tc>
          <w:tcPr>
            <w:tcW w:type="dxa" w:w="2992"/>
          </w:tcPr>
          <w:p>
            <w:r/>
            <w:r>
              <w:rPr>
                <w:rFonts w:ascii="Calibri" w:hAnsi="Calibri"/>
                <w:b w:val="0"/>
                <w:sz w:val="19"/>
              </w:rPr>
              <w:t>PRO-PVM-01, PRO-PVM-05, FOR-PVM-04</w:t>
            </w:r>
          </w:p>
        </w:tc>
      </w:tr>
      <w:tr>
        <w:tc>
          <w:tcPr>
            <w:tcW w:type="dxa" w:w="2792"/>
          </w:tcPr>
          <w:p>
            <w:r/>
            <w:r>
              <w:rPr>
                <w:rFonts w:ascii="Calibri" w:hAnsi="Calibri"/>
                <w:b w:val="0"/>
                <w:sz w:val="19"/>
              </w:rPr>
              <w:t>Salida no conforme</w:t>
            </w:r>
          </w:p>
        </w:tc>
        <w:tc>
          <w:tcPr>
            <w:tcW w:type="dxa" w:w="4188"/>
          </w:tcPr>
          <w:p>
            <w:r/>
            <w:r>
              <w:rPr>
                <w:rFonts w:ascii="Calibri" w:hAnsi="Calibri"/>
                <w:b w:val="0"/>
                <w:sz w:val="19"/>
              </w:rPr>
              <w:t>Instalación o entrega que no cumple el requisito</w:t>
            </w:r>
          </w:p>
        </w:tc>
        <w:tc>
          <w:tcPr>
            <w:tcW w:type="dxa" w:w="2992"/>
          </w:tcPr>
          <w:p>
            <w:r/>
            <w:r>
              <w:rPr>
                <w:rFonts w:ascii="Calibri" w:hAnsi="Calibri"/>
                <w:b w:val="0"/>
                <w:sz w:val="19"/>
              </w:rPr>
              <w:t>Sección 8.7 del Manual, ticket en Trello</w:t>
            </w:r>
          </w:p>
        </w:tc>
      </w:tr>
      <w:tr>
        <w:tc>
          <w:tcPr>
            <w:tcW w:type="dxa" w:w="2792"/>
          </w:tcPr>
          <w:p>
            <w:r/>
            <w:r>
              <w:rPr>
                <w:rFonts w:ascii="Calibri" w:hAnsi="Calibri"/>
                <w:b w:val="0"/>
                <w:sz w:val="19"/>
              </w:rPr>
              <w:t>Auditoría interna</w:t>
            </w:r>
          </w:p>
        </w:tc>
        <w:tc>
          <w:tcPr>
            <w:tcW w:type="dxa" w:w="4188"/>
          </w:tcPr>
          <w:p>
            <w:r/>
            <w:r>
              <w:rPr>
                <w:rFonts w:ascii="Calibri" w:hAnsi="Calibri"/>
                <w:b w:val="0"/>
                <w:sz w:val="19"/>
              </w:rPr>
              <w:t>Hallazgo de no conformidad contra la norma o el SGC</w:t>
            </w:r>
          </w:p>
        </w:tc>
        <w:tc>
          <w:tcPr>
            <w:tcW w:type="dxa" w:w="2992"/>
          </w:tcPr>
          <w:p>
            <w:r/>
            <w:r>
              <w:rPr>
                <w:rFonts w:ascii="Calibri" w:hAnsi="Calibri"/>
                <w:b w:val="0"/>
                <w:sz w:val="19"/>
              </w:rPr>
              <w:t>PRG-AUD-001</w:t>
            </w:r>
          </w:p>
        </w:tc>
      </w:tr>
      <w:tr>
        <w:tc>
          <w:tcPr>
            <w:tcW w:type="dxa" w:w="2792"/>
          </w:tcPr>
          <w:p>
            <w:r/>
            <w:r>
              <w:rPr>
                <w:rFonts w:ascii="Calibri" w:hAnsi="Calibri"/>
                <w:b w:val="0"/>
                <w:sz w:val="19"/>
              </w:rPr>
              <w:t>Incumplimiento de objetivo o indicador</w:t>
            </w:r>
          </w:p>
        </w:tc>
        <w:tc>
          <w:tcPr>
            <w:tcW w:type="dxa" w:w="4188"/>
          </w:tcPr>
          <w:p>
            <w:r/>
            <w:r>
              <w:rPr>
                <w:rFonts w:ascii="Calibri" w:hAnsi="Calibri"/>
                <w:b w:val="0"/>
                <w:sz w:val="19"/>
              </w:rPr>
              <w:t>Satisfacción por debajo del 90 por ciento, meta no alcanzada</w:t>
            </w:r>
          </w:p>
        </w:tc>
        <w:tc>
          <w:tcPr>
            <w:tcW w:type="dxa" w:w="2992"/>
          </w:tcPr>
          <w:p>
            <w:r/>
            <w:r>
              <w:rPr>
                <w:rFonts w:ascii="Calibri" w:hAnsi="Calibri"/>
                <w:b w:val="0"/>
                <w:sz w:val="19"/>
              </w:rPr>
              <w:t>PLA-MED-001</w:t>
            </w:r>
          </w:p>
        </w:tc>
      </w:tr>
      <w:tr>
        <w:tc>
          <w:tcPr>
            <w:tcW w:type="dxa" w:w="2792"/>
          </w:tcPr>
          <w:p>
            <w:r/>
            <w:r>
              <w:rPr>
                <w:rFonts w:ascii="Calibri" w:hAnsi="Calibri"/>
                <w:b w:val="0"/>
                <w:sz w:val="19"/>
              </w:rPr>
              <w:t>Evaluación de proveedor</w:t>
            </w:r>
          </w:p>
        </w:tc>
        <w:tc>
          <w:tcPr>
            <w:tcW w:type="dxa" w:w="4188"/>
          </w:tcPr>
          <w:p>
            <w:r/>
            <w:r>
              <w:rPr>
                <w:rFonts w:ascii="Calibri" w:hAnsi="Calibri"/>
                <w:b w:val="0"/>
                <w:sz w:val="19"/>
              </w:rPr>
              <w:t>Proveedor reprobado o reincidente</w:t>
            </w:r>
          </w:p>
        </w:tc>
        <w:tc>
          <w:tcPr>
            <w:tcW w:type="dxa" w:w="2992"/>
          </w:tcPr>
          <w:p>
            <w:r/>
            <w:r>
              <w:rPr>
                <w:rFonts w:ascii="Calibri" w:hAnsi="Calibri"/>
                <w:b w:val="0"/>
                <w:sz w:val="19"/>
              </w:rPr>
              <w:t>PRO-PRV-001, FOR-PRV-01</w:t>
            </w:r>
          </w:p>
        </w:tc>
      </w:tr>
      <w:tr>
        <w:tc>
          <w:tcPr>
            <w:tcW w:type="dxa" w:w="2792"/>
          </w:tcPr>
          <w:p>
            <w:r/>
            <w:r>
              <w:rPr>
                <w:rFonts w:ascii="Calibri" w:hAnsi="Calibri"/>
                <w:b w:val="0"/>
                <w:sz w:val="19"/>
              </w:rPr>
              <w:t>Revisión por la dirección</w:t>
            </w:r>
          </w:p>
        </w:tc>
        <w:tc>
          <w:tcPr>
            <w:tcW w:type="dxa" w:w="4188"/>
          </w:tcPr>
          <w:p>
            <w:r/>
            <w:r>
              <w:rPr>
                <w:rFonts w:ascii="Calibri" w:hAnsi="Calibri"/>
                <w:b w:val="0"/>
                <w:sz w:val="19"/>
              </w:rPr>
              <w:t>Decisión de corregir una desviación del SGC</w:t>
            </w:r>
          </w:p>
        </w:tc>
        <w:tc>
          <w:tcPr>
            <w:tcW w:type="dxa" w:w="2992"/>
          </w:tcPr>
          <w:p>
            <w:r/>
            <w:r>
              <w:rPr>
                <w:rFonts w:ascii="Calibri" w:hAnsi="Calibri"/>
                <w:b w:val="0"/>
                <w:sz w:val="19"/>
              </w:rPr>
              <w:t>Sección 9.3 del Manual</w:t>
            </w:r>
          </w:p>
        </w:tc>
      </w:tr>
      <w:tr>
        <w:tc>
          <w:tcPr>
            <w:tcW w:type="dxa" w:w="2792"/>
          </w:tcPr>
          <w:p>
            <w:r/>
            <w:r>
              <w:rPr>
                <w:rFonts w:ascii="Calibri" w:hAnsi="Calibri"/>
                <w:b w:val="0"/>
                <w:sz w:val="19"/>
              </w:rPr>
              <w:t>Riesgo materializado</w:t>
            </w:r>
          </w:p>
        </w:tc>
        <w:tc>
          <w:tcPr>
            <w:tcW w:type="dxa" w:w="4188"/>
          </w:tcPr>
          <w:p>
            <w:r/>
            <w:r>
              <w:rPr>
                <w:rFonts w:ascii="Calibri" w:hAnsi="Calibri"/>
                <w:b w:val="0"/>
                <w:sz w:val="19"/>
              </w:rPr>
              <w:t>Riesgo de la matriz que ocurre</w:t>
            </w:r>
          </w:p>
        </w:tc>
        <w:tc>
          <w:tcPr>
            <w:tcW w:type="dxa" w:w="2992"/>
          </w:tcPr>
          <w:p>
            <w:r/>
            <w:r>
              <w:rPr>
                <w:rFonts w:ascii="Calibri" w:hAnsi="Calibri"/>
                <w:b w:val="0"/>
                <w:sz w:val="19"/>
              </w:rPr>
              <w:t>MAT-RIE-001</w:t>
            </w:r>
          </w:p>
        </w:tc>
      </w:tr>
    </w:tbl>
    <w:p>
      <w:pPr>
        <w:keepNext/>
        <w:spacing w:before="280" w:after="80"/>
        <w:pBdr>
          <w:bottom w:val="single" w:sz="8" w:color="F0E528"/>
        </w:pBdr>
      </w:pPr>
      <w:r>
        <w:rPr>
          <w:rFonts w:ascii="Georgia" w:hAnsi="Georgia"/>
          <w:b/>
          <w:color w:val="0056B4"/>
          <w:sz w:val="26"/>
        </w:rPr>
        <w:t>8. Descripción del procedimiento</w:t>
      </w:r>
    </w:p>
    <w:p>
      <w:pPr>
        <w:spacing w:after="120"/>
      </w:pPr>
      <w:r>
        <w:rPr>
          <w:rFonts w:ascii="Calibri" w:hAnsi="Calibri"/>
          <w:color w:val="1C242E"/>
          <w:sz w:val="21"/>
        </w:rPr>
        <w:t>El procedimiento sigue la secuencia de la cláusula 10.2: reaccionar y corregir, evaluar la necesidad de eliminar la causa, analizar la causa raíz, implementar la acción, revisar su eficacia, actualizar los riesgos y cerrar. El registro de todo el ciclo es la SAC FOR-AC-01.</w:t>
      </w:r>
    </w:p>
    <w:p>
      <w:pPr>
        <w:pStyle w:val="ListNumber"/>
      </w:pPr>
      <w:r>
        <w:rPr>
          <w:b/>
          <w:sz w:val="20"/>
        </w:rPr>
        <w:t xml:space="preserve">Detectar y registrar la no conformidad. </w:t>
      </w:r>
      <w:r>
        <w:rPr>
          <w:rFonts w:ascii="Calibri" w:hAnsi="Calibri"/>
          <w:sz w:val="20"/>
        </w:rPr>
        <w:t>Quien detecta la no conformidad la reporta al Responsable interno del SGC o a la Coordinación del área. Se abre la SAC FOR-AC-01 con folio y se describe la no conformidad: qué ocurrió, dónde, cuándo, la evidencia y el requisito incumplido.</w:t>
      </w:r>
    </w:p>
    <w:p>
      <w:pPr>
        <w:pStyle w:val="ListNumber"/>
      </w:pPr>
      <w:r>
        <w:rPr>
          <w:b/>
          <w:sz w:val="20"/>
        </w:rPr>
        <w:t xml:space="preserve">Aplicar la corrección inmediata. </w:t>
      </w:r>
      <w:r>
        <w:rPr>
          <w:rFonts w:ascii="Calibri" w:hAnsi="Calibri"/>
          <w:sz w:val="20"/>
        </w:rPr>
        <w:t>Contener el efecto y corregir lo evidente, por ejemplo reparar, reprocesar o atender al cliente. Registrar qué se hizo, quién lo hizo y cuándo. La corrección protege al cliente mientras se analiza la causa.</w:t>
      </w:r>
    </w:p>
    <w:p>
      <w:pPr>
        <w:pStyle w:val="ListNumber"/>
      </w:pPr>
      <w:r>
        <w:rPr>
          <w:b/>
          <w:sz w:val="20"/>
        </w:rPr>
        <w:t xml:space="preserve">Evaluar la necesidad de acción correctiva. </w:t>
      </w:r>
      <w:r>
        <w:rPr>
          <w:rFonts w:ascii="Calibri" w:hAnsi="Calibri"/>
          <w:sz w:val="20"/>
        </w:rPr>
        <w:t>El Responsable interno del SGC evalúa la magnitud y la recurrencia. Si la no conformidad es menor y aislada, se documenta la corrección y se cierra. Si es relevante o recurrente, continúa con el análisis de causa raíz.</w:t>
      </w:r>
    </w:p>
    <w:p>
      <w:pPr>
        <w:pStyle w:val="ListNumber"/>
      </w:pPr>
      <w:r>
        <w:rPr>
          <w:b/>
          <w:sz w:val="20"/>
        </w:rPr>
        <w:t xml:space="preserve">Analizar la causa raíz. </w:t>
      </w:r>
      <w:r>
        <w:rPr>
          <w:rFonts w:ascii="Calibri" w:hAnsi="Calibri"/>
          <w:sz w:val="20"/>
        </w:rPr>
        <w:t>Aplicar la técnica de los cinco porqués o una equivalente con el área involucrada, conforme a la sección 9. Identificar la causa raíz y confirmar si la misma causa está presente en otros procesos o proyectos.</w:t>
      </w:r>
    </w:p>
    <w:p>
      <w:pPr>
        <w:pStyle w:val="ListNumber"/>
      </w:pPr>
      <w:r>
        <w:rPr>
          <w:b/>
          <w:sz w:val="20"/>
        </w:rPr>
        <w:t xml:space="preserve">Definir la acción correctiva. </w:t>
      </w:r>
      <w:r>
        <w:rPr>
          <w:rFonts w:ascii="Calibri" w:hAnsi="Calibri"/>
          <w:sz w:val="20"/>
        </w:rPr>
        <w:t>Definir la acción que elimina la causa raíz, con responsable y fecha compromiso. Cuando la acción implique recursos o cambios relevantes, el Comité de Calidad la autoriza.</w:t>
      </w:r>
    </w:p>
    <w:p>
      <w:pPr>
        <w:pStyle w:val="ListNumber"/>
      </w:pPr>
      <w:r>
        <w:rPr>
          <w:b/>
          <w:sz w:val="20"/>
        </w:rPr>
        <w:t xml:space="preserve">Implementar la acción. </w:t>
      </w:r>
      <w:r>
        <w:rPr>
          <w:rFonts w:ascii="Calibri" w:hAnsi="Calibri"/>
          <w:sz w:val="20"/>
        </w:rPr>
        <w:t>Ejecutar la acción en el plazo comprometido y registrar la evidencia y la fecha real de implementación en la SAC.</w:t>
      </w:r>
    </w:p>
    <w:p>
      <w:pPr>
        <w:pStyle w:val="ListNumber"/>
      </w:pPr>
      <w:r>
        <w:rPr>
          <w:b/>
          <w:sz w:val="20"/>
        </w:rPr>
        <w:t xml:space="preserve">Verificar la eficacia. </w:t>
      </w:r>
      <w:r>
        <w:rPr>
          <w:rFonts w:ascii="Calibri" w:hAnsi="Calibri"/>
          <w:sz w:val="20"/>
        </w:rPr>
        <w:t>Después del plazo definido, verificar contra un criterio medible que la no conformidad no reincide, conforme a la sección 10. Si la acción no es eficaz, reabrir el análisis y redefinir la acción.</w:t>
      </w:r>
    </w:p>
    <w:p>
      <w:pPr>
        <w:pStyle w:val="ListNumber"/>
      </w:pPr>
      <w:r>
        <w:rPr>
          <w:b/>
          <w:sz w:val="20"/>
        </w:rPr>
        <w:t xml:space="preserve">Actualizar riesgos y cerrar. </w:t>
      </w:r>
      <w:r>
        <w:rPr>
          <w:rFonts w:ascii="Calibri" w:hAnsi="Calibri"/>
          <w:sz w:val="20"/>
        </w:rPr>
        <w:t>Actualizar la matriz MAT-RIE-001 cuando aplique, registrar la lección aprendida, cerrar la SAC y reportar el cierre al Comité de Calidad en la revisión por la dirección.</w:t>
      </w:r>
    </w:p>
    <w:tbl>
      <w:tblPr>
        <w:tblW w:type="auto" w:w="0"/>
        <w:tblLook w:firstColumn="1" w:firstRow="1" w:lastColumn="0" w:lastRow="0" w:noHBand="0" w:noVBand="1" w:val="04A0"/>
        <w:tblBorders>
          <w:left w:val="single" w:sz="16" w:color="F0E528"/>
        </w:tblBorders>
      </w:tblPr>
      <w:tblGrid>
        <w:gridCol w:w="9972"/>
      </w:tblGrid>
      <w:tr>
        <w:tc>
          <w:tcPr>
            <w:tcW w:type="dxa" w:w="9972"/>
            <w:shd w:val="clear" w:fill="FFF9DB"/>
          </w:tcPr>
          <w:p>
            <w:r/>
            <w:r>
              <w:rPr>
                <w:rFonts w:ascii="Calibri" w:hAnsi="Calibri"/>
                <w:b w:val="0"/>
                <w:color w:val="003D80"/>
                <w:sz w:val="17"/>
              </w:rPr>
              <w:t>Las no conformidades de origen técnico se atienden en paralelo como ticket de postventa PRO-PVM-01; la SAC FOR-AC-01 conserva el registro de la acción correctiva y enlaza el ticket correspondiente.</w:t>
            </w:r>
          </w:p>
        </w:tc>
      </w:tr>
    </w:tbl>
    <w:p>
      <w:pPr>
        <w:spacing w:after="40"/>
      </w:pPr>
    </w:p>
    <w:p>
      <w:pPr>
        <w:keepNext/>
        <w:spacing w:before="280" w:after="80"/>
        <w:pBdr>
          <w:bottom w:val="single" w:sz="8" w:color="F0E528"/>
        </w:pBdr>
      </w:pPr>
      <w:r>
        <w:rPr>
          <w:rFonts w:ascii="Georgia" w:hAnsi="Georgia"/>
          <w:b/>
          <w:color w:val="0056B4"/>
          <w:sz w:val="26"/>
        </w:rPr>
        <w:t>9. Análisis de causa raíz (cinco porqués)</w:t>
      </w:r>
    </w:p>
    <w:p>
      <w:pPr>
        <w:spacing w:after="120"/>
      </w:pPr>
      <w:r>
        <w:rPr>
          <w:rFonts w:ascii="Calibri" w:hAnsi="Calibri"/>
          <w:color w:val="1C242E"/>
          <w:sz w:val="21"/>
        </w:rPr>
        <w:t>La técnica de los cinco porqués parte del enunciado de la no conformidad y pregunta de forma sucesiva por qué ocurrió cada hecho, hasta llegar a una causa que, al eliminarse, evita la recurrencia. No siempre son exactamente cinco preguntas: se detiene cuando la respuesta ya identifica una causa que SolarPro puede eliminar. La acción correctiva se define sobre la causa raíz, no sobre las respuestas intermedias.</w:t>
      </w:r>
    </w:p>
    <w:p>
      <w:pPr>
        <w:pStyle w:val="ListBullet"/>
      </w:pPr>
      <w:r>
        <w:rPr>
          <w:rFonts w:ascii="Calibri" w:hAnsi="Calibri"/>
          <w:sz w:val="20"/>
        </w:rPr>
        <w:t>Enunciar la no conformidad con hechos, sin culpar a personas.</w:t>
      </w:r>
    </w:p>
    <w:p>
      <w:pPr>
        <w:pStyle w:val="ListBullet"/>
      </w:pPr>
      <w:r>
        <w:rPr>
          <w:rFonts w:ascii="Calibri" w:hAnsi="Calibri"/>
          <w:sz w:val="20"/>
        </w:rPr>
        <w:t>Preguntar por qué ocurrió y responder con evidencia, no con suposiciones.</w:t>
      </w:r>
    </w:p>
    <w:p>
      <w:pPr>
        <w:pStyle w:val="ListBullet"/>
      </w:pPr>
      <w:r>
        <w:rPr>
          <w:rFonts w:ascii="Calibri" w:hAnsi="Calibri"/>
          <w:sz w:val="20"/>
        </w:rPr>
        <w:t>Repetir la pregunta sobre cada respuesta anterior hasta llegar a la causa raíz.</w:t>
      </w:r>
    </w:p>
    <w:p>
      <w:pPr>
        <w:pStyle w:val="ListBullet"/>
      </w:pPr>
      <w:r>
        <w:rPr>
          <w:rFonts w:ascii="Calibri" w:hAnsi="Calibri"/>
          <w:sz w:val="20"/>
        </w:rPr>
        <w:t>Confirmar la causa raíz: si se elimina, la no conformidad no debería repetirse.</w:t>
      </w:r>
    </w:p>
    <w:p>
      <w:pPr>
        <w:pStyle w:val="ListBullet"/>
      </w:pPr>
      <w:r>
        <w:rPr>
          <w:rFonts w:ascii="Calibri" w:hAnsi="Calibri"/>
          <w:sz w:val="20"/>
        </w:rPr>
        <w:t>Verificar si la misma causa afecta a otros procesos o proyectos.</w:t>
      </w:r>
    </w:p>
    <w:p>
      <w:pPr>
        <w:keepNext/>
        <w:spacing w:before="200" w:after="60"/>
      </w:pPr>
      <w:r>
        <w:rPr>
          <w:rFonts w:ascii="Georgia" w:hAnsi="Georgia"/>
          <w:b/>
          <w:color w:val="1C242E"/>
          <w:sz w:val="22"/>
        </w:rPr>
        <w:t>Ejemplo ilustrativo del giro</w:t>
      </w:r>
    </w:p>
    <w:p>
      <w:pPr>
        <w:spacing w:after="120"/>
      </w:pPr>
      <w:r>
        <w:rPr>
          <w:rFonts w:ascii="Calibri" w:hAnsi="Calibri"/>
          <w:color w:val="1C242E"/>
          <w:sz w:val="21"/>
        </w:rPr>
        <w:t>El siguiente ejemplo es genérico del giro solar y sirve solo de guía; en cada caso real se sustituye por los hechos del proyecto.</w:t>
      </w:r>
    </w:p>
    <w:tbl>
      <w:tblPr>
        <w:tblW w:type="auto" w:w="0"/>
        <w:tblLook w:firstColumn="1" w:firstRow="1" w:lastColumn="0" w:lastRow="0" w:noHBand="0" w:noVBand="1" w:val="04A0"/>
        <w:tblBorders>
          <w:top w:val="single" w:sz="4" w:color="404040"/>
          <w:left w:val="single" w:sz="4" w:color="404040"/>
          <w:bottom w:val="single" w:sz="4" w:color="404040"/>
          <w:right w:val="single" w:sz="4" w:color="404040"/>
          <w:insideH w:val="single" w:sz="4" w:color="404040"/>
          <w:insideV w:val="single" w:sz="4" w:color="404040"/>
        </w:tblBorders>
      </w:tblPr>
      <w:tblGrid>
        <w:gridCol w:w="4986"/>
        <w:gridCol w:w="4986"/>
      </w:tblGrid>
      <w:tr>
        <w:tc>
          <w:tcPr>
            <w:tcW w:type="dxa" w:w="2194"/>
            <w:shd w:val="clear" w:fill="0056B4"/>
          </w:tcPr>
          <w:p>
            <w:pPr>
              <w:jc w:val="center"/>
            </w:pPr>
            <w:r/>
            <w:r>
              <w:rPr>
                <w:rFonts w:ascii="Calibri" w:hAnsi="Calibri"/>
                <w:b/>
                <w:color w:val="FFFFFF"/>
                <w:sz w:val="17"/>
              </w:rPr>
              <w:t>Nivel</w:t>
            </w:r>
          </w:p>
        </w:tc>
        <w:tc>
          <w:tcPr>
            <w:tcW w:type="dxa" w:w="7778"/>
            <w:shd w:val="clear" w:fill="0056B4"/>
          </w:tcPr>
          <w:p>
            <w:pPr>
              <w:jc w:val="center"/>
            </w:pPr>
            <w:r/>
            <w:r>
              <w:rPr>
                <w:rFonts w:ascii="Calibri" w:hAnsi="Calibri"/>
                <w:b/>
                <w:color w:val="FFFFFF"/>
                <w:sz w:val="17"/>
              </w:rPr>
              <w:t>Pregunta y respuesta</w:t>
            </w:r>
          </w:p>
        </w:tc>
      </w:tr>
      <w:tr>
        <w:tc>
          <w:tcPr>
            <w:tcW w:type="dxa" w:w="2194"/>
          </w:tcPr>
          <w:p>
            <w:r/>
            <w:r>
              <w:rPr>
                <w:rFonts w:ascii="Calibri" w:hAnsi="Calibri"/>
                <w:b w:val="0"/>
                <w:sz w:val="19"/>
              </w:rPr>
              <w:t>No conformidad</w:t>
            </w:r>
          </w:p>
        </w:tc>
        <w:tc>
          <w:tcPr>
            <w:tcW w:type="dxa" w:w="7778"/>
          </w:tcPr>
          <w:p>
            <w:r/>
            <w:r>
              <w:rPr>
                <w:rFonts w:ascii="Calibri" w:hAnsi="Calibri"/>
                <w:b w:val="0"/>
                <w:sz w:val="19"/>
              </w:rPr>
              <w:t>El cliente reporta que el sistema produce menos energía que la prometida.</w:t>
            </w:r>
          </w:p>
        </w:tc>
      </w:tr>
      <w:tr>
        <w:tc>
          <w:tcPr>
            <w:tcW w:type="dxa" w:w="2194"/>
          </w:tcPr>
          <w:p>
            <w:r/>
            <w:r>
              <w:rPr>
                <w:rFonts w:ascii="Calibri" w:hAnsi="Calibri"/>
                <w:b w:val="0"/>
                <w:sz w:val="19"/>
              </w:rPr>
              <w:t>Primer porqué</w:t>
            </w:r>
          </w:p>
        </w:tc>
        <w:tc>
          <w:tcPr>
            <w:tcW w:type="dxa" w:w="7778"/>
          </w:tcPr>
          <w:p>
            <w:r/>
            <w:r>
              <w:rPr>
                <w:rFonts w:ascii="Calibri" w:hAnsi="Calibri"/>
                <w:b w:val="0"/>
                <w:sz w:val="19"/>
              </w:rPr>
              <w:t>¿Por qué produce menos? La generación real está por debajo de la estimada.</w:t>
            </w:r>
          </w:p>
        </w:tc>
      </w:tr>
      <w:tr>
        <w:tc>
          <w:tcPr>
            <w:tcW w:type="dxa" w:w="2194"/>
          </w:tcPr>
          <w:p>
            <w:r/>
            <w:r>
              <w:rPr>
                <w:rFonts w:ascii="Calibri" w:hAnsi="Calibri"/>
                <w:b w:val="0"/>
                <w:sz w:val="19"/>
              </w:rPr>
              <w:t>Segundo porqué</w:t>
            </w:r>
          </w:p>
        </w:tc>
        <w:tc>
          <w:tcPr>
            <w:tcW w:type="dxa" w:w="7778"/>
          </w:tcPr>
          <w:p>
            <w:r/>
            <w:r>
              <w:rPr>
                <w:rFonts w:ascii="Calibri" w:hAnsi="Calibri"/>
                <w:b w:val="0"/>
                <w:sz w:val="19"/>
              </w:rPr>
              <w:t>¿Por qué está por debajo? El arreglo tiene un sombreado parcial no considerado en el diseño.</w:t>
            </w:r>
          </w:p>
        </w:tc>
      </w:tr>
      <w:tr>
        <w:tc>
          <w:tcPr>
            <w:tcW w:type="dxa" w:w="2194"/>
          </w:tcPr>
          <w:p>
            <w:r/>
            <w:r>
              <w:rPr>
                <w:rFonts w:ascii="Calibri" w:hAnsi="Calibri"/>
                <w:b w:val="0"/>
                <w:sz w:val="19"/>
              </w:rPr>
              <w:t>Tercer porqué</w:t>
            </w:r>
          </w:p>
        </w:tc>
        <w:tc>
          <w:tcPr>
            <w:tcW w:type="dxa" w:w="7778"/>
          </w:tcPr>
          <w:p>
            <w:r/>
            <w:r>
              <w:rPr>
                <w:rFonts w:ascii="Calibri" w:hAnsi="Calibri"/>
                <w:b w:val="0"/>
                <w:sz w:val="19"/>
              </w:rPr>
              <w:t>¿Por qué no se consideró? El levantamiento en sitio no registró un obstáculo cercano.</w:t>
            </w:r>
          </w:p>
        </w:tc>
      </w:tr>
      <w:tr>
        <w:tc>
          <w:tcPr>
            <w:tcW w:type="dxa" w:w="2194"/>
          </w:tcPr>
          <w:p>
            <w:r/>
            <w:r>
              <w:rPr>
                <w:rFonts w:ascii="Calibri" w:hAnsi="Calibri"/>
                <w:b w:val="0"/>
                <w:sz w:val="19"/>
              </w:rPr>
              <w:t>Cuarto porqué</w:t>
            </w:r>
          </w:p>
        </w:tc>
        <w:tc>
          <w:tcPr>
            <w:tcW w:type="dxa" w:w="7778"/>
          </w:tcPr>
          <w:p>
            <w:r/>
            <w:r>
              <w:rPr>
                <w:rFonts w:ascii="Calibri" w:hAnsi="Calibri"/>
                <w:b w:val="0"/>
                <w:sz w:val="19"/>
              </w:rPr>
              <w:t>¿Por qué no se registró? La lista de verificación de la visita técnica no contempla el sombreado estacional.</w:t>
            </w:r>
          </w:p>
        </w:tc>
      </w:tr>
      <w:tr>
        <w:tc>
          <w:tcPr>
            <w:tcW w:type="dxa" w:w="2194"/>
          </w:tcPr>
          <w:p>
            <w:r/>
            <w:r>
              <w:rPr>
                <w:rFonts w:ascii="Calibri" w:hAnsi="Calibri"/>
                <w:b w:val="0"/>
                <w:sz w:val="19"/>
              </w:rPr>
              <w:t>Quinto porqué</w:t>
            </w:r>
          </w:p>
        </w:tc>
        <w:tc>
          <w:tcPr>
            <w:tcW w:type="dxa" w:w="7778"/>
          </w:tcPr>
          <w:p>
            <w:r/>
            <w:r>
              <w:rPr>
                <w:rFonts w:ascii="Calibri" w:hAnsi="Calibri"/>
                <w:b w:val="0"/>
                <w:sz w:val="19"/>
              </w:rPr>
              <w:t>¿Por qué no lo contempla? El formato de visita no se actualizó tras casos previos similares.</w:t>
            </w:r>
          </w:p>
        </w:tc>
      </w:tr>
      <w:tr>
        <w:tc>
          <w:tcPr>
            <w:tcW w:type="dxa" w:w="2194"/>
          </w:tcPr>
          <w:p>
            <w:r/>
            <w:r>
              <w:rPr>
                <w:rFonts w:ascii="Calibri" w:hAnsi="Calibri"/>
                <w:b w:val="0"/>
                <w:sz w:val="19"/>
              </w:rPr>
              <w:t>Causa raíz</w:t>
            </w:r>
          </w:p>
        </w:tc>
        <w:tc>
          <w:tcPr>
            <w:tcW w:type="dxa" w:w="7778"/>
          </w:tcPr>
          <w:p>
            <w:r/>
            <w:r>
              <w:rPr>
                <w:rFonts w:ascii="Calibri" w:hAnsi="Calibri"/>
                <w:b w:val="0"/>
                <w:sz w:val="19"/>
              </w:rPr>
              <w:t>El formato de visita técnica no captura el sombreado estacional.</w:t>
            </w:r>
          </w:p>
        </w:tc>
      </w:tr>
      <w:tr>
        <w:tc>
          <w:tcPr>
            <w:tcW w:type="dxa" w:w="2194"/>
          </w:tcPr>
          <w:p>
            <w:r/>
            <w:r>
              <w:rPr>
                <w:rFonts w:ascii="Calibri" w:hAnsi="Calibri"/>
                <w:b w:val="0"/>
                <w:sz w:val="19"/>
              </w:rPr>
              <w:t>Acción correctiva</w:t>
            </w:r>
          </w:p>
        </w:tc>
        <w:tc>
          <w:tcPr>
            <w:tcW w:type="dxa" w:w="7778"/>
          </w:tcPr>
          <w:p>
            <w:r/>
            <w:r>
              <w:rPr>
                <w:rFonts w:ascii="Calibri" w:hAnsi="Calibri"/>
                <w:b w:val="0"/>
                <w:sz w:val="19"/>
              </w:rPr>
              <w:t>Actualizar la lista de verificación de visita técnica para registrar el sombreado por estación y capacitar a Ingeniería en su uso.</w:t>
            </w:r>
          </w:p>
        </w:tc>
      </w:tr>
    </w:tbl>
    <w:tbl>
      <w:tblPr>
        <w:tblW w:type="auto" w:w="0"/>
        <w:tblLook w:firstColumn="1" w:firstRow="1" w:lastColumn="0" w:lastRow="0" w:noHBand="0" w:noVBand="1" w:val="04A0"/>
        <w:tblBorders>
          <w:left w:val="single" w:sz="16" w:color="F0E528"/>
        </w:tblBorders>
      </w:tblPr>
      <w:tblGrid>
        <w:gridCol w:w="9972"/>
      </w:tblGrid>
      <w:tr>
        <w:tc>
          <w:tcPr>
            <w:tcW w:type="dxa" w:w="9972"/>
            <w:shd w:val="clear" w:fill="FFF9DB"/>
          </w:tcPr>
          <w:p>
            <w:r/>
            <w:r>
              <w:rPr>
                <w:rFonts w:ascii="Calibri" w:hAnsi="Calibri"/>
                <w:b w:val="0"/>
                <w:color w:val="003D80"/>
                <w:sz w:val="17"/>
              </w:rPr>
              <w:t>La técnica de los cinco porqués es el método base de SolarPro. Para no conformidades complejas o con varias causas, puede complementarse con diagrama de causa y efecto u otra técnica equivalente, sin dejar de registrar la causa raíz en la SAC.</w:t>
            </w:r>
          </w:p>
        </w:tc>
      </w:tr>
    </w:tbl>
    <w:p>
      <w:pPr>
        <w:spacing w:after="40"/>
      </w:pPr>
    </w:p>
    <w:p>
      <w:pPr>
        <w:keepNext/>
        <w:spacing w:before="280" w:after="80"/>
        <w:pBdr>
          <w:bottom w:val="single" w:sz="8" w:color="F0E528"/>
        </w:pBdr>
      </w:pPr>
      <w:r>
        <w:rPr>
          <w:rFonts w:ascii="Georgia" w:hAnsi="Georgia"/>
          <w:b/>
          <w:color w:val="0056B4"/>
          <w:sz w:val="26"/>
        </w:rPr>
        <w:t>10. Verificación de eficacia post-implementación</w:t>
      </w:r>
    </w:p>
    <w:p>
      <w:pPr>
        <w:spacing w:after="120"/>
      </w:pPr>
      <w:r>
        <w:rPr>
          <w:rFonts w:ascii="Calibri" w:hAnsi="Calibri"/>
          <w:color w:val="1C242E"/>
          <w:sz w:val="21"/>
        </w:rPr>
        <w:t>La verificación de eficacia es el paso que distingue una acción correctiva de una simple corrección. Comprueba, después de implementar la acción, que la causa se eliminó y que la no conformidad no reincide.</w:t>
      </w:r>
    </w:p>
    <w:p>
      <w:pPr>
        <w:pStyle w:val="ListNumber"/>
      </w:pPr>
      <w:r>
        <w:rPr>
          <w:b/>
          <w:sz w:val="20"/>
        </w:rPr>
        <w:t xml:space="preserve">Definir el criterio de eficacia. </w:t>
      </w:r>
      <w:r>
        <w:rPr>
          <w:rFonts w:ascii="Calibri" w:hAnsi="Calibri"/>
          <w:sz w:val="20"/>
        </w:rPr>
        <w:t>Antes de cerrar, definir un criterio medible, por ejemplo cero recurrencias del mismo modo de falla en un número de proyectos o de meses, o el indicador afectado que regresa a su meta.</w:t>
      </w:r>
    </w:p>
    <w:p>
      <w:pPr>
        <w:pStyle w:val="ListNumber"/>
      </w:pPr>
      <w:r>
        <w:rPr>
          <w:b/>
          <w:sz w:val="20"/>
        </w:rPr>
        <w:t xml:space="preserve">Definir el plazo de verificación. </w:t>
      </w:r>
      <w:r>
        <w:rPr>
          <w:rFonts w:ascii="Calibri" w:hAnsi="Calibri"/>
          <w:sz w:val="20"/>
        </w:rPr>
        <w:t>Fijar un plazo proporcional al ciclo del proceso, de modo que el criterio pueda observarse con suficientes casos o tiempo.</w:t>
      </w:r>
    </w:p>
    <w:p>
      <w:pPr>
        <w:pStyle w:val="ListNumber"/>
      </w:pPr>
      <w:r>
        <w:rPr>
          <w:b/>
          <w:sz w:val="20"/>
        </w:rPr>
        <w:t xml:space="preserve">Verificar y registrar el resultado. </w:t>
      </w:r>
      <w:r>
        <w:rPr>
          <w:rFonts w:ascii="Calibri" w:hAnsi="Calibri"/>
          <w:sz w:val="20"/>
        </w:rPr>
        <w:t>Al vencer el plazo, verificar el criterio y registrar en la SAC el resultado como eficaz o no eficaz, con la evidencia que lo sustenta.</w:t>
      </w:r>
    </w:p>
    <w:p>
      <w:pPr>
        <w:pStyle w:val="ListNumber"/>
      </w:pPr>
      <w:r>
        <w:rPr>
          <w:b/>
          <w:sz w:val="20"/>
        </w:rPr>
        <w:t xml:space="preserve">Reabrir si no es eficaz. </w:t>
      </w:r>
      <w:r>
        <w:rPr>
          <w:rFonts w:ascii="Calibri" w:hAnsi="Calibri"/>
          <w:sz w:val="20"/>
        </w:rPr>
        <w:t>Si la acción no resultó eficaz, reabrir el análisis de causa raíz, redefinir la acción y repetir la verificación.</w:t>
      </w:r>
    </w:p>
    <w:tbl>
      <w:tblPr>
        <w:tblW w:type="auto" w:w="0"/>
        <w:tblLook w:firstColumn="1" w:firstRow="1" w:lastColumn="0" w:lastRow="0" w:noHBand="0" w:noVBand="1" w:val="04A0"/>
        <w:tblBorders>
          <w:left w:val="single" w:sz="18" w:color="F0E528"/>
        </w:tblBorders>
      </w:tblPr>
      <w:tblGrid>
        <w:gridCol w:w="9972"/>
      </w:tblGrid>
      <w:tr>
        <w:tc>
          <w:tcPr>
            <w:tcW w:type="dxa" w:w="9972"/>
            <w:shd w:val="clear" w:fill="FFF9DB"/>
          </w:tcPr>
          <w:p>
            <w:r>
              <w:rPr>
                <w:b/>
                <w:color w:val="003D80"/>
                <w:sz w:val="19"/>
              </w:rPr>
              <w:t xml:space="preserve">Pendiente: </w:t>
            </w:r>
            <w:r>
              <w:rPr>
                <w:color w:val="003D80"/>
                <w:sz w:val="19"/>
              </w:rPr>
              <w:t>[Por validar con SolarPro: los plazos de verificación de eficacia por tipo de no conformidad y los criterios de eficacia por proceso, por ejemplo cuántos proyectos o cuántos meses sin recurrencia se exigen para dar por eficaz una acción.]</w:t>
            </w:r>
          </w:p>
        </w:tc>
      </w:tr>
    </w:tbl>
    <w:p>
      <w:pPr>
        <w:spacing w:after="40"/>
      </w:pPr>
    </w:p>
    <w:p>
      <w:pPr>
        <w:keepNext/>
        <w:spacing w:before="280" w:after="80"/>
        <w:pBdr>
          <w:bottom w:val="single" w:sz="8" w:color="F0E528"/>
        </w:pBdr>
      </w:pPr>
      <w:r>
        <w:rPr>
          <w:rFonts w:ascii="Georgia" w:hAnsi="Georgia"/>
          <w:b/>
          <w:color w:val="0056B4"/>
          <w:sz w:val="26"/>
        </w:rPr>
        <w:t>11. Escalamiento a mejora y actualización de riesgos</w:t>
      </w:r>
    </w:p>
    <w:p>
      <w:pPr>
        <w:spacing w:after="120"/>
      </w:pPr>
      <w:r>
        <w:rPr>
          <w:rFonts w:ascii="Calibri" w:hAnsi="Calibri"/>
          <w:color w:val="1C242E"/>
          <w:sz w:val="21"/>
        </w:rPr>
        <w:t>La acción correctiva alimenta la mejora del SGC. Al cerrar un caso, SolarPro conecta el aprendizaje con los demás elementos del sistema:</w:t>
      </w:r>
    </w:p>
    <w:p>
      <w:pPr>
        <w:pStyle w:val="ListBullet"/>
      </w:pPr>
      <w:r>
        <w:rPr>
          <w:rFonts w:ascii="Calibri" w:hAnsi="Calibri"/>
          <w:sz w:val="20"/>
        </w:rPr>
        <w:t>Actualizar la matriz de riesgos y oportunidades MAT-RIE-001 cuando la no conformidad revela un riesgo nuevo o mal valorado, conforme al inciso e de la cláusula 10.2.</w:t>
      </w:r>
    </w:p>
    <w:p>
      <w:pPr>
        <w:pStyle w:val="ListBullet"/>
      </w:pPr>
      <w:r>
        <w:rPr>
          <w:rFonts w:ascii="Calibri" w:hAnsi="Calibri"/>
          <w:sz w:val="20"/>
        </w:rPr>
        <w:t>Registrar la lección aprendida y retroalimentar a Ingeniería y a la operación, en línea con PRO-PVM-05.</w:t>
      </w:r>
    </w:p>
    <w:p>
      <w:pPr>
        <w:pStyle w:val="ListBullet"/>
      </w:pPr>
      <w:r>
        <w:rPr>
          <w:rFonts w:ascii="Calibri" w:hAnsi="Calibri"/>
          <w:sz w:val="20"/>
        </w:rPr>
        <w:t>Elevar las acciones correctivas recurrentes o de alto impacto al Comité de Calidad para decidir una mejora de fondo, conforme a la sección 10.3 del Manual.</w:t>
      </w:r>
    </w:p>
    <w:p>
      <w:pPr>
        <w:pStyle w:val="ListBullet"/>
      </w:pPr>
      <w:r>
        <w:rPr>
          <w:rFonts w:ascii="Calibri" w:hAnsi="Calibri"/>
          <w:sz w:val="20"/>
        </w:rPr>
        <w:t>Reportar el estado de las acciones correctivas como entrada de la revisión por la dirección, con cadencia trimestral, según la sección 9.3.</w:t>
      </w:r>
    </w:p>
    <w:p>
      <w:pPr>
        <w:keepNext/>
        <w:spacing w:before="280" w:after="80"/>
        <w:pBdr>
          <w:bottom w:val="single" w:sz="8" w:color="F0E528"/>
        </w:pBdr>
      </w:pPr>
      <w:r>
        <w:rPr>
          <w:rFonts w:ascii="Georgia" w:hAnsi="Georgia"/>
          <w:b/>
          <w:color w:val="0056B4"/>
          <w:sz w:val="26"/>
        </w:rPr>
        <w:t>12. Registros</w:t>
      </w:r>
    </w:p>
    <w:tbl>
      <w:tblPr>
        <w:tblW w:type="auto" w:w="0"/>
        <w:tblLook w:firstColumn="1" w:firstRow="1" w:lastColumn="0" w:lastRow="0" w:noHBand="0" w:noVBand="1" w:val="04A0"/>
        <w:tblBorders>
          <w:top w:val="single" w:sz="4" w:color="404040"/>
          <w:left w:val="single" w:sz="4" w:color="404040"/>
          <w:bottom w:val="single" w:sz="4" w:color="404040"/>
          <w:right w:val="single" w:sz="4" w:color="404040"/>
          <w:insideH w:val="single" w:sz="4" w:color="404040"/>
          <w:insideV w:val="single" w:sz="4" w:color="404040"/>
        </w:tblBorders>
      </w:tblPr>
      <w:tblGrid>
        <w:gridCol w:w="2493"/>
        <w:gridCol w:w="2493"/>
        <w:gridCol w:w="2493"/>
        <w:gridCol w:w="2493"/>
      </w:tblGrid>
      <w:tr>
        <w:tc>
          <w:tcPr>
            <w:tcW w:type="dxa" w:w="3590"/>
            <w:shd w:val="clear" w:fill="0056B4"/>
          </w:tcPr>
          <w:p>
            <w:pPr>
              <w:jc w:val="center"/>
            </w:pPr>
            <w:r/>
            <w:r>
              <w:rPr>
                <w:rFonts w:ascii="Calibri" w:hAnsi="Calibri"/>
                <w:b/>
                <w:color w:val="FFFFFF"/>
                <w:sz w:val="17"/>
              </w:rPr>
              <w:t>Registro</w:t>
            </w:r>
          </w:p>
        </w:tc>
        <w:tc>
          <w:tcPr>
            <w:tcW w:type="dxa" w:w="1795"/>
            <w:shd w:val="clear" w:fill="0056B4"/>
          </w:tcPr>
          <w:p>
            <w:pPr>
              <w:jc w:val="center"/>
            </w:pPr>
            <w:r/>
            <w:r>
              <w:rPr>
                <w:rFonts w:ascii="Calibri" w:hAnsi="Calibri"/>
                <w:b/>
                <w:color w:val="FFFFFF"/>
                <w:sz w:val="17"/>
              </w:rPr>
              <w:t>Código</w:t>
            </w:r>
          </w:p>
        </w:tc>
        <w:tc>
          <w:tcPr>
            <w:tcW w:type="dxa" w:w="2792"/>
            <w:shd w:val="clear" w:fill="0056B4"/>
          </w:tcPr>
          <w:p>
            <w:pPr>
              <w:jc w:val="center"/>
            </w:pPr>
            <w:r/>
            <w:r>
              <w:rPr>
                <w:rFonts w:ascii="Calibri" w:hAnsi="Calibri"/>
                <w:b/>
                <w:color w:val="FFFFFF"/>
                <w:sz w:val="17"/>
              </w:rPr>
              <w:t>Responsable</w:t>
            </w:r>
          </w:p>
        </w:tc>
        <w:tc>
          <w:tcPr>
            <w:tcW w:type="dxa" w:w="1795"/>
            <w:shd w:val="clear" w:fill="0056B4"/>
          </w:tcPr>
          <w:p>
            <w:pPr>
              <w:jc w:val="center"/>
            </w:pPr>
            <w:r/>
            <w:r>
              <w:rPr>
                <w:rFonts w:ascii="Calibri" w:hAnsi="Calibri"/>
                <w:b/>
                <w:color w:val="FFFFFF"/>
                <w:sz w:val="17"/>
              </w:rPr>
              <w:t>Medio</w:t>
            </w:r>
          </w:p>
        </w:tc>
      </w:tr>
      <w:tr>
        <w:tc>
          <w:tcPr>
            <w:tcW w:type="dxa" w:w="3590"/>
          </w:tcPr>
          <w:p>
            <w:r/>
            <w:r>
              <w:rPr>
                <w:rFonts w:ascii="Calibri" w:hAnsi="Calibri"/>
                <w:b w:val="0"/>
                <w:sz w:val="19"/>
              </w:rPr>
              <w:t>Solicitud de Acción Correctiva</w:t>
            </w:r>
          </w:p>
        </w:tc>
        <w:tc>
          <w:tcPr>
            <w:tcW w:type="dxa" w:w="1795"/>
          </w:tcPr>
          <w:p>
            <w:r/>
            <w:r>
              <w:rPr>
                <w:rFonts w:ascii="Calibri" w:hAnsi="Calibri"/>
                <w:b w:val="0"/>
                <w:sz w:val="19"/>
              </w:rPr>
              <w:t>FOR-AC-01</w:t>
            </w:r>
          </w:p>
        </w:tc>
        <w:tc>
          <w:tcPr>
            <w:tcW w:type="dxa" w:w="2792"/>
          </w:tcPr>
          <w:p>
            <w:r/>
            <w:r>
              <w:rPr>
                <w:rFonts w:ascii="Calibri" w:hAnsi="Calibri"/>
                <w:b w:val="0"/>
                <w:sz w:val="19"/>
              </w:rPr>
              <w:t>Responsable interno del SGC</w:t>
            </w:r>
          </w:p>
        </w:tc>
        <w:tc>
          <w:tcPr>
            <w:tcW w:type="dxa" w:w="1795"/>
          </w:tcPr>
          <w:p>
            <w:r/>
            <w:r>
              <w:rPr>
                <w:rFonts w:ascii="Calibri" w:hAnsi="Calibri"/>
                <w:b w:val="0"/>
                <w:sz w:val="19"/>
              </w:rPr>
              <w:t>Trello, hub</w:t>
            </w:r>
          </w:p>
        </w:tc>
      </w:tr>
      <w:tr>
        <w:tc>
          <w:tcPr>
            <w:tcW w:type="dxa" w:w="3590"/>
          </w:tcPr>
          <w:p>
            <w:r/>
            <w:r>
              <w:rPr>
                <w:rFonts w:ascii="Calibri" w:hAnsi="Calibri"/>
                <w:b w:val="0"/>
                <w:sz w:val="19"/>
              </w:rPr>
              <w:t>Listado de acciones correctivas</w:t>
            </w:r>
          </w:p>
        </w:tc>
        <w:tc>
          <w:tcPr>
            <w:tcW w:type="dxa" w:w="1795"/>
          </w:tcPr>
          <w:p>
            <w:r/>
            <w:r>
              <w:rPr>
                <w:rFonts w:ascii="Calibri" w:hAnsi="Calibri"/>
                <w:b w:val="0"/>
                <w:sz w:val="19"/>
              </w:rPr>
              <w:t>Control del SGC</w:t>
            </w:r>
          </w:p>
        </w:tc>
        <w:tc>
          <w:tcPr>
            <w:tcW w:type="dxa" w:w="2792"/>
          </w:tcPr>
          <w:p>
            <w:r/>
            <w:r>
              <w:rPr>
                <w:rFonts w:ascii="Calibri" w:hAnsi="Calibri"/>
                <w:b w:val="0"/>
                <w:sz w:val="19"/>
              </w:rPr>
              <w:t>Responsable interno del SGC</w:t>
            </w:r>
          </w:p>
        </w:tc>
        <w:tc>
          <w:tcPr>
            <w:tcW w:type="dxa" w:w="1795"/>
          </w:tcPr>
          <w:p>
            <w:r/>
            <w:r>
              <w:rPr>
                <w:rFonts w:ascii="Calibri" w:hAnsi="Calibri"/>
                <w:b w:val="0"/>
                <w:sz w:val="19"/>
              </w:rPr>
              <w:t>Trello, hub</w:t>
            </w:r>
          </w:p>
        </w:tc>
      </w:tr>
      <w:tr>
        <w:tc>
          <w:tcPr>
            <w:tcW w:type="dxa" w:w="3590"/>
          </w:tcPr>
          <w:p>
            <w:r/>
            <w:r>
              <w:rPr>
                <w:rFonts w:ascii="Calibri" w:hAnsi="Calibri"/>
                <w:b w:val="0"/>
                <w:sz w:val="19"/>
              </w:rPr>
              <w:t>Registro de quejas y retroalimentación</w:t>
            </w:r>
          </w:p>
        </w:tc>
        <w:tc>
          <w:tcPr>
            <w:tcW w:type="dxa" w:w="1795"/>
          </w:tcPr>
          <w:p>
            <w:r/>
            <w:r>
              <w:rPr>
                <w:rFonts w:ascii="Calibri" w:hAnsi="Calibri"/>
                <w:b w:val="0"/>
                <w:sz w:val="19"/>
              </w:rPr>
              <w:t>FOR-COM-01</w:t>
            </w:r>
          </w:p>
        </w:tc>
        <w:tc>
          <w:tcPr>
            <w:tcW w:type="dxa" w:w="2792"/>
          </w:tcPr>
          <w:p>
            <w:r/>
            <w:r>
              <w:rPr>
                <w:rFonts w:ascii="Calibri" w:hAnsi="Calibri"/>
                <w:b w:val="0"/>
                <w:sz w:val="19"/>
              </w:rPr>
              <w:t>Coordinación de Postventa</w:t>
            </w:r>
          </w:p>
        </w:tc>
        <w:tc>
          <w:tcPr>
            <w:tcW w:type="dxa" w:w="1795"/>
          </w:tcPr>
          <w:p>
            <w:r/>
            <w:r>
              <w:rPr>
                <w:rFonts w:ascii="Calibri" w:hAnsi="Calibri"/>
                <w:b w:val="0"/>
                <w:sz w:val="19"/>
              </w:rPr>
              <w:t>Trello</w:t>
            </w:r>
          </w:p>
        </w:tc>
      </w:tr>
      <w:tr>
        <w:tc>
          <w:tcPr>
            <w:tcW w:type="dxa" w:w="3590"/>
          </w:tcPr>
          <w:p>
            <w:r/>
            <w:r>
              <w:rPr>
                <w:rFonts w:ascii="Calibri" w:hAnsi="Calibri"/>
                <w:b w:val="0"/>
                <w:sz w:val="19"/>
              </w:rPr>
              <w:t>Ticket de postventa</w:t>
            </w:r>
          </w:p>
        </w:tc>
        <w:tc>
          <w:tcPr>
            <w:tcW w:type="dxa" w:w="1795"/>
          </w:tcPr>
          <w:p>
            <w:r/>
            <w:r>
              <w:rPr>
                <w:rFonts w:ascii="Calibri" w:hAnsi="Calibri"/>
                <w:b w:val="0"/>
                <w:sz w:val="19"/>
              </w:rPr>
              <w:t>FOR-PVM-01</w:t>
            </w:r>
          </w:p>
        </w:tc>
        <w:tc>
          <w:tcPr>
            <w:tcW w:type="dxa" w:w="2792"/>
          </w:tcPr>
          <w:p>
            <w:r/>
            <w:r>
              <w:rPr>
                <w:rFonts w:ascii="Calibri" w:hAnsi="Calibri"/>
                <w:b w:val="0"/>
                <w:sz w:val="19"/>
              </w:rPr>
              <w:t>Coordinación de Postventa</w:t>
            </w:r>
          </w:p>
        </w:tc>
        <w:tc>
          <w:tcPr>
            <w:tcW w:type="dxa" w:w="1795"/>
          </w:tcPr>
          <w:p>
            <w:r/>
            <w:r>
              <w:rPr>
                <w:rFonts w:ascii="Calibri" w:hAnsi="Calibri"/>
                <w:b w:val="0"/>
                <w:sz w:val="19"/>
              </w:rPr>
              <w:t>Trello</w:t>
            </w:r>
          </w:p>
        </w:tc>
      </w:tr>
      <w:tr>
        <w:tc>
          <w:tcPr>
            <w:tcW w:type="dxa" w:w="3590"/>
          </w:tcPr>
          <w:p>
            <w:r/>
            <w:r>
              <w:rPr>
                <w:rFonts w:ascii="Calibri" w:hAnsi="Calibri"/>
                <w:b w:val="0"/>
                <w:sz w:val="19"/>
              </w:rPr>
              <w:t>Informe de auditoría interna</w:t>
            </w:r>
          </w:p>
        </w:tc>
        <w:tc>
          <w:tcPr>
            <w:tcW w:type="dxa" w:w="1795"/>
          </w:tcPr>
          <w:p>
            <w:r/>
            <w:r>
              <w:rPr>
                <w:rFonts w:ascii="Calibri" w:hAnsi="Calibri"/>
                <w:b w:val="0"/>
                <w:sz w:val="19"/>
              </w:rPr>
              <w:t>INF-AI-001</w:t>
            </w:r>
          </w:p>
        </w:tc>
        <w:tc>
          <w:tcPr>
            <w:tcW w:type="dxa" w:w="2792"/>
          </w:tcPr>
          <w:p>
            <w:r/>
            <w:r>
              <w:rPr>
                <w:rFonts w:ascii="Calibri" w:hAnsi="Calibri"/>
                <w:b w:val="0"/>
                <w:sz w:val="19"/>
              </w:rPr>
              <w:t>Responsable interno del SGC</w:t>
            </w:r>
          </w:p>
        </w:tc>
        <w:tc>
          <w:tcPr>
            <w:tcW w:type="dxa" w:w="1795"/>
          </w:tcPr>
          <w:p>
            <w:r/>
            <w:r>
              <w:rPr>
                <w:rFonts w:ascii="Calibri" w:hAnsi="Calibri"/>
                <w:b w:val="0"/>
                <w:sz w:val="19"/>
              </w:rPr>
              <w:t>Hub</w:t>
            </w:r>
          </w:p>
        </w:tc>
      </w:tr>
      <w:tr>
        <w:tc>
          <w:tcPr>
            <w:tcW w:type="dxa" w:w="3590"/>
          </w:tcPr>
          <w:p>
            <w:r/>
            <w:r>
              <w:rPr>
                <w:rFonts w:ascii="Calibri" w:hAnsi="Calibri"/>
                <w:b w:val="0"/>
                <w:sz w:val="19"/>
              </w:rPr>
              <w:t>Matriz de riesgos y oportunidades</w:t>
            </w:r>
          </w:p>
        </w:tc>
        <w:tc>
          <w:tcPr>
            <w:tcW w:type="dxa" w:w="1795"/>
          </w:tcPr>
          <w:p>
            <w:r/>
            <w:r>
              <w:rPr>
                <w:rFonts w:ascii="Calibri" w:hAnsi="Calibri"/>
                <w:b w:val="0"/>
                <w:sz w:val="19"/>
              </w:rPr>
              <w:t>MAT-RIE-001</w:t>
            </w:r>
          </w:p>
        </w:tc>
        <w:tc>
          <w:tcPr>
            <w:tcW w:type="dxa" w:w="2792"/>
          </w:tcPr>
          <w:p>
            <w:r/>
            <w:r>
              <w:rPr>
                <w:rFonts w:ascii="Calibri" w:hAnsi="Calibri"/>
                <w:b w:val="0"/>
                <w:sz w:val="19"/>
              </w:rPr>
              <w:t>Comité de Calidad</w:t>
            </w:r>
          </w:p>
        </w:tc>
        <w:tc>
          <w:tcPr>
            <w:tcW w:type="dxa" w:w="1795"/>
          </w:tcPr>
          <w:p>
            <w:r/>
            <w:r>
              <w:rPr>
                <w:rFonts w:ascii="Calibri" w:hAnsi="Calibri"/>
                <w:b w:val="0"/>
                <w:sz w:val="19"/>
              </w:rPr>
              <w:t>Hub</w:t>
            </w:r>
          </w:p>
        </w:tc>
      </w:tr>
    </w:tbl>
    <w:tbl>
      <w:tblPr>
        <w:tblW w:type="auto" w:w="0"/>
        <w:tblLook w:firstColumn="1" w:firstRow="1" w:lastColumn="0" w:lastRow="0" w:noHBand="0" w:noVBand="1" w:val="04A0"/>
        <w:tblBorders>
          <w:left w:val="single" w:sz="18" w:color="F0E528"/>
        </w:tblBorders>
      </w:tblPr>
      <w:tblGrid>
        <w:gridCol w:w="9972"/>
      </w:tblGrid>
      <w:tr>
        <w:tc>
          <w:tcPr>
            <w:tcW w:type="dxa" w:w="9972"/>
            <w:shd w:val="clear" w:fill="FFF9DB"/>
          </w:tcPr>
          <w:p>
            <w:r>
              <w:rPr>
                <w:b/>
                <w:color w:val="003D80"/>
                <w:sz w:val="19"/>
              </w:rPr>
              <w:t xml:space="preserve">Pendiente: </w:t>
            </w:r>
            <w:r>
              <w:rPr>
                <w:color w:val="003D80"/>
                <w:sz w:val="19"/>
              </w:rPr>
              <w:t>[Por validar con SolarPro: la persona designada que mantiene el listado de acciones correctivas dentro de la Gerencia Administrativa, los tiempos de conservación de cada registro para el control de la información documentada, conforme a la sección 7.5 del Manual MC-SP-01, y el ciclo de revisión del documento (propuesta anual, fecha de emisión más doce meses) que aparece como Fecha de revisión en la tabla de Control del Documento.]</w:t>
            </w:r>
          </w:p>
        </w:tc>
      </w:tr>
    </w:tbl>
    <w:p>
      <w:pPr>
        <w:spacing w:after="40"/>
      </w:pPr>
    </w:p>
    <w:p>
      <w:pPr>
        <w:keepNext/>
        <w:spacing w:before="280" w:after="80"/>
        <w:pBdr>
          <w:bottom w:val="single" w:sz="8" w:color="F0E528"/>
        </w:pBdr>
      </w:pPr>
      <w:r>
        <w:rPr>
          <w:rFonts w:ascii="Georgia" w:hAnsi="Georgia"/>
          <w:b/>
          <w:color w:val="0056B4"/>
          <w:sz w:val="26"/>
        </w:rPr>
        <w:t>APROBACIÓN</w:t>
      </w:r>
    </w:p>
    <w:p>
      <w:pPr>
        <w:spacing w:after="120"/>
      </w:pPr>
    </w:p>
    <w:p>
      <w:pPr>
        <w:keepNext/>
        <w:spacing w:after="320"/>
      </w:pPr>
    </w:p>
    <w:tbl>
      <w:tblPr>
        <w:tblW w:type="auto" w:w="0"/>
        <w:tblLook w:firstColumn="1" w:firstRow="1" w:lastColumn="0" w:lastRow="0" w:noHBand="0" w:noVBand="1" w:val="04A0"/>
      </w:tblPr>
      <w:tblGrid>
        <w:gridCol w:w="3324"/>
        <w:gridCol w:w="3324"/>
        <w:gridCol w:w="3324"/>
      </w:tblGrid>
      <w:tr>
        <w:tc>
          <w:tcPr>
            <w:tcW w:type="dxa" w:w="3324"/>
          </w:tcPr>
          <w:p>
            <w:pPr>
              <w:jc w:val="center"/>
            </w:pPr>
            <w:r/>
            <w:r>
              <w:rPr>
                <w:sz w:val="20"/>
              </w:rPr>
              <w:t>__________________________</w:t>
            </w:r>
          </w:p>
        </w:tc>
        <w:tc>
          <w:tcPr>
            <w:tcW w:type="dxa" w:w="3324"/>
          </w:tcPr>
          <w:p>
            <w:pPr>
              <w:jc w:val="center"/>
            </w:pPr>
            <w:r/>
            <w:r>
              <w:rPr>
                <w:sz w:val="20"/>
              </w:rPr>
              <w:t>__________________________</w:t>
            </w:r>
          </w:p>
        </w:tc>
        <w:tc>
          <w:tcPr>
            <w:tcW w:type="dxa" w:w="3324"/>
          </w:tcPr>
          <w:p>
            <w:pPr>
              <w:jc w:val="center"/>
            </w:pPr>
            <w:r/>
            <w:r>
              <w:rPr>
                <w:sz w:val="20"/>
              </w:rPr>
              <w:t>__________________________</w:t>
            </w:r>
          </w:p>
        </w:tc>
      </w:tr>
      <w:tr>
        <w:tc>
          <w:tcPr>
            <w:tcW w:type="dxa" w:w="3324"/>
          </w:tcPr>
          <w:p>
            <w:pPr>
              <w:jc w:val="center"/>
            </w:pPr>
            <w:r/>
            <w:r>
              <w:rPr>
                <w:rFonts w:ascii="Calibri" w:hAnsi="Calibri"/>
                <w:b w:val="0"/>
                <w:color w:val="595959"/>
                <w:sz w:val="17"/>
              </w:rPr>
              <w:t>Elaboró</w:t>
              <w:br/>
              <w:t>DETA Consultores</w:t>
            </w:r>
          </w:p>
        </w:tc>
        <w:tc>
          <w:tcPr>
            <w:tcW w:type="dxa" w:w="3324"/>
          </w:tcPr>
          <w:p>
            <w:pPr>
              <w:jc w:val="center"/>
            </w:pPr>
            <w:r/>
            <w:r>
              <w:rPr>
                <w:rFonts w:ascii="Calibri" w:hAnsi="Calibri"/>
                <w:b w:val="0"/>
                <w:color w:val="595959"/>
                <w:sz w:val="17"/>
              </w:rPr>
              <w:t>Revisó</w:t>
              <w:br/>
              <w:t>Gerencia Administrativa</w:t>
            </w:r>
          </w:p>
        </w:tc>
        <w:tc>
          <w:tcPr>
            <w:tcW w:type="dxa" w:w="3324"/>
          </w:tcPr>
          <w:p>
            <w:pPr>
              <w:jc w:val="center"/>
            </w:pPr>
            <w:r/>
            <w:r>
              <w:rPr>
                <w:rFonts w:ascii="Calibri" w:hAnsi="Calibri"/>
                <w:b w:val="0"/>
                <w:color w:val="595959"/>
                <w:sz w:val="17"/>
              </w:rPr>
              <w:t>Aprobó</w:t>
              <w:br/>
              <w:t>Dirección General</w:t>
            </w:r>
          </w:p>
        </w:tc>
      </w:tr>
    </w:tbl>
    <w:sectPr w:rsidR="00FC693F" w:rsidRPr="0006063C" w:rsidSect="00034616">
      <w:footerReference w:type="default" r:id="rId9"/>
      <w:pgSz w:w="12240" w:h="15840"/>
      <w:pgMar w:top="1077" w:right="1134" w:bottom="1077"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rFonts w:ascii="Calibri" w:hAnsi="Calibri"/>
        <w:color w:val="595959"/>
        <w:sz w:val="15"/>
      </w:rPr>
      <w:t>SolarPro · Acciones Correctivas · PRO-AC-001 V1</w:t>
    </w:r>
    <w:r>
      <w:tab/>
    </w:r>
    <w:r>
      <w:rPr>
        <w:rFonts w:ascii="Calibri" w:hAnsi="Calibri"/>
        <w:sz w:val="16"/>
      </w:rPr>
      <w:fldChar w:fldCharType="begin"/>
    </w:r>
    <w:r>
      <w:rPr>
        <w:rFonts w:ascii="Calibri" w:hAnsi="Calibri"/>
        <w:sz w:val="16"/>
      </w:rPr>
      <w:instrText xml:space="preserve"> PAGE </w:instrText>
    </w:r>
    <w:r>
      <w:fldChar w:fldCharType="separate"/>
    </w:r>
    <w:r>
      <w:rPr>
        <w:rFonts w:ascii="Calibri" w:hAnsi="Calibri"/>
        <w:sz w:val="16"/>
      </w:rPr>
      <w:t>1</w:t>
    </w:r>
    <w:r>
      <w:fldChar w:fldCharType="end"/>
    </w:r>
    <w:r>
      <w:rPr>
        <w:color w:val="595959"/>
        <w:sz w:val="15"/>
      </w:rPr>
      <w:t xml:space="preserve"> / </w:t>
    </w:r>
    <w:r>
      <w:rPr>
        <w:rFonts w:ascii="Calibri" w:hAnsi="Calibri"/>
        <w:sz w:val="16"/>
      </w:rPr>
      <w:fldChar w:fldCharType="begin"/>
    </w:r>
    <w:r>
      <w:rPr>
        <w:rFonts w:ascii="Calibri" w:hAnsi="Calibri"/>
        <w:sz w:val="16"/>
      </w:rPr>
      <w:instrText xml:space="preserve"> NUMPAGES </w:instrText>
    </w:r>
    <w:r>
      <w:fldChar w:fldCharType="separate"/>
    </w:r>
    <w:r>
      <w:rPr>
        <w:rFonts w:ascii="Calibri" w:hAnsi="Calibri"/>
        <w:sz w:val="16"/>
      </w:rPr>
      <w:t>1</w:t>
    </w:r>
    <w:r>
      <w:fldChar w:fldCharType="end"/>
    </w:r>
    <w:r>
      <w:tab/>
    </w:r>
    <w:r>
      <w:rPr>
        <w:rFonts w:ascii="Calibri" w:hAnsi="Calibri"/>
        <w:color w:val="595959"/>
        <w:sz w:val="15"/>
      </w:rPr>
      <w:t>Elaboró DETA Consultores</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