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single" w:sz="6" w:color="000000"/>
          <w:left w:val="single" w:sz="6" w:color="000000"/>
          <w:bottom w:val="single" w:sz="6" w:color="000000"/>
          <w:right w:val="single" w:sz="6" w:color="000000"/>
          <w:insideH w:val="single" w:sz="6" w:color="000000"/>
          <w:insideV w:val="single" w:sz="6" w:color="000000"/>
        </w:tblBorders>
      </w:tblPr>
      <w:tblGrid>
        <w:gridCol w:w="3450"/>
        <w:gridCol w:w="3450"/>
        <w:gridCol w:w="3450"/>
        <w:gridCol w:w="3450"/>
      </w:tblGrid>
      <w:tr>
        <w:tc>
          <w:tcPr>
            <w:tcW w:type="dxa" w:w="3036"/>
            <w:vMerge w:val="restart"/>
          </w:tcPr>
          <w:p>
            <w:pPr>
              <w:jc w:val="center"/>
            </w:pPr>
            <w:r/>
            <w:r>
              <w:drawing>
                <wp:inline xmlns:a="http://schemas.openxmlformats.org/drawingml/2006/main" xmlns:pic="http://schemas.openxmlformats.org/drawingml/2006/picture">
                  <wp:extent cx="1152000" cy="378514"/>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9"/>
                          <a:stretch>
                            <a:fillRect/>
                          </a:stretch>
                        </pic:blipFill>
                        <pic:spPr>
                          <a:xfrm>
                            <a:off x="0" y="0"/>
                            <a:ext cx="1152000" cy="378514"/>
                          </a:xfrm>
                          <a:prstGeom prst="rect"/>
                        </pic:spPr>
                      </pic:pic>
                    </a:graphicData>
                  </a:graphic>
                </wp:inline>
              </w:drawing>
            </w:r>
          </w:p>
        </w:tc>
        <w:tc>
          <w:tcPr>
            <w:tcW w:type="dxa" w:w="3588"/>
          </w:tcPr>
          <w:p>
            <w:r/>
            <w:r>
              <w:rPr>
                <w:rFonts w:ascii="Calibri" w:hAnsi="Calibri"/>
                <w:b w:val="0"/>
                <w:color w:val="595959"/>
                <w:sz w:val="16"/>
              </w:rPr>
              <w:t>Documento: Formato de Operaciones</w:t>
            </w:r>
          </w:p>
        </w:tc>
        <w:tc>
          <w:tcPr>
            <w:tcW w:type="dxa" w:w="4692"/>
            <w:vMerge w:val="restart"/>
            <w:shd w:val="clear" w:fill="F2F2F2"/>
          </w:tcPr>
          <w:p>
            <w:pPr>
              <w:jc w:val="center"/>
            </w:pPr>
            <w:r/>
            <w:r>
              <w:rPr>
                <w:rFonts w:ascii="Georgia" w:hAnsi="Georgia"/>
                <w:b/>
                <w:sz w:val="24"/>
              </w:rPr>
              <w:t>Programa Semanal de Instalaciones</w:t>
            </w:r>
          </w:p>
        </w:tc>
        <w:tc>
          <w:tcPr>
            <w:tcW w:type="dxa" w:w="2484"/>
          </w:tcPr>
          <w:p>
            <w:r/>
            <w:r>
              <w:rPr>
                <w:rFonts w:ascii="Calibri" w:hAnsi="Calibri"/>
                <w:b w:val="0"/>
                <w:color w:val="595959"/>
                <w:sz w:val="16"/>
              </w:rPr>
              <w:t>Revisión: 1.0</w:t>
            </w:r>
          </w:p>
        </w:tc>
      </w:tr>
      <w:tr>
        <w:tc>
          <w:tcPr>
            <w:tcW w:type="dxa" w:w="3036"/>
            <w:vMerge/>
          </w:tcPr>
          <w:p/>
        </w:tc>
        <w:tc>
          <w:tcPr>
            <w:tcW w:type="dxa" w:w="3588"/>
          </w:tcPr>
          <w:p>
            <w:r/>
            <w:r>
              <w:rPr>
                <w:rFonts w:ascii="Calibri" w:hAnsi="Calibri"/>
                <w:b/>
                <w:sz w:val="18"/>
              </w:rPr>
              <w:t>Código: FOR-OPE-01</w:t>
            </w:r>
          </w:p>
        </w:tc>
        <w:tc>
          <w:tcPr>
            <w:tcW w:type="dxa" w:w="4692"/>
            <w:vMerge/>
          </w:tcPr>
          <w:p/>
        </w:tc>
        <w:tc>
          <w:tcPr>
            <w:tcW w:type="dxa" w:w="2484"/>
          </w:tcPr>
          <w:p>
            <w:r/>
            <w:r>
              <w:rPr>
                <w:rFonts w:ascii="Calibri" w:hAnsi="Calibri"/>
                <w:b w:val="0"/>
                <w:color w:val="595959"/>
                <w:sz w:val="16"/>
              </w:rPr>
              <w:t>Fecha: 02-09-2026</w:t>
            </w:r>
          </w:p>
        </w:tc>
      </w:tr>
    </w:tbl>
    <w:p>
      <w:pPr>
        <w:spacing w:before="40" w:after="120"/>
        <w:pBdr>
          <w:bottom w:val="single" w:sz="18" w:color="F0E528"/>
        </w:pBdr>
      </w:pPr>
    </w:p>
    <w:p>
      <w:pPr>
        <w:spacing w:after="80"/>
      </w:pPr>
      <w:r>
        <w:rPr>
          <w:b w:val="0"/>
          <w:i w:val="0"/>
          <w:sz w:val="18"/>
        </w:rPr>
        <w:t>Este formato concentra en una sola vista la programacion de las instalaciones de la semana. Se llena con las instalaciones que cada vendedor confirma como listas y con anticipo, se publica el mismo dia a Ingenieria, Cuadrillas y Almacen, y es el unico documento que dispara la verificacion de material y la solicitud de surtido. Ninguna instalacion se considera programada si no aparece en esta matriz.</w:t>
      </w:r>
    </w:p>
    <w:p>
      <w:pPr>
        <w:keepNext/>
        <w:spacing w:before="200" w:after="80"/>
        <w:pBdr>
          <w:bottom w:val="single" w:sz="8" w:color="F0E528"/>
        </w:pBdr>
      </w:pPr>
      <w:r>
        <w:rPr>
          <w:rFonts w:ascii="Georgia" w:hAnsi="Georgia"/>
          <w:b/>
          <w:color w:val="0056B4"/>
          <w:sz w:val="20"/>
        </w:rPr>
        <w:t>IDENTIFICACION DE LA SEMANA</w:t>
      </w:r>
    </w:p>
    <w:tbl>
      <w:tblPr>
        <w:tblW w:type="auto" w:w="0"/>
        <w:tblLook w:firstColumn="1" w:firstRow="1" w:lastColumn="0" w:lastRow="0" w:noHBand="0" w:noVBand="1" w:val="04A0"/>
      </w:tblPr>
      <w:tblGrid>
        <w:gridCol w:w="4600"/>
        <w:gridCol w:w="4600"/>
        <w:gridCol w:w="4600"/>
      </w:tblGrid>
      <w:tr>
        <w:tc>
          <w:tcPr>
            <w:tcW w:type="dxa" w:w="4600"/>
          </w:tcPr>
          <w:p>
            <w:r/>
            <w:r>
              <w:rPr>
                <w:b/>
                <w:sz w:val="20"/>
              </w:rPr>
              <w:t xml:space="preserve">Semana del: </w:t>
            </w:r>
            <w:r>
              <w:rPr>
                <w:sz w:val="20"/>
              </w:rPr>
              <w:t>________________________</w:t>
            </w:r>
          </w:p>
        </w:tc>
        <w:tc>
          <w:tcPr>
            <w:tcW w:type="dxa" w:w="4600"/>
          </w:tcPr>
          <w:p>
            <w:r/>
            <w:r>
              <w:rPr>
                <w:b/>
                <w:sz w:val="20"/>
              </w:rPr>
              <w:t xml:space="preserve">al: </w:t>
            </w:r>
            <w:r>
              <w:rPr>
                <w:sz w:val="20"/>
              </w:rPr>
              <w:t>________________________________</w:t>
            </w:r>
          </w:p>
        </w:tc>
        <w:tc>
          <w:tcPr>
            <w:tcW w:type="dxa" w:w="4600"/>
          </w:tcPr>
          <w:p>
            <w:r/>
            <w:r>
              <w:rPr>
                <w:b/>
                <w:sz w:val="20"/>
              </w:rPr>
              <w:t xml:space="preserve">Fecha de publicacion: </w:t>
            </w:r>
            <w:r>
              <w:rPr>
                <w:sz w:val="20"/>
              </w:rPr>
              <w:t>______________</w:t>
            </w:r>
          </w:p>
        </w:tc>
      </w:tr>
    </w:tbl>
    <w:tbl>
      <w:tblPr>
        <w:tblW w:type="auto" w:w="0"/>
        <w:tblLook w:firstColumn="1" w:firstRow="1" w:lastColumn="0" w:lastRow="0" w:noHBand="0" w:noVBand="1" w:val="04A0"/>
      </w:tblPr>
      <w:tblGrid>
        <w:gridCol w:w="6900"/>
        <w:gridCol w:w="6900"/>
      </w:tblGrid>
      <w:tr>
        <w:tc>
          <w:tcPr>
            <w:tcW w:type="dxa" w:w="6900"/>
          </w:tcPr>
          <w:p>
            <w:r/>
            <w:r>
              <w:rPr>
                <w:b/>
                <w:sz w:val="20"/>
              </w:rPr>
              <w:t xml:space="preserve">Responsable de la programacion: </w:t>
            </w:r>
            <w:r>
              <w:rPr>
                <w:sz w:val="20"/>
              </w:rPr>
              <w:t>__________</w:t>
            </w:r>
          </w:p>
        </w:tc>
        <w:tc>
          <w:tcPr>
            <w:tcW w:type="dxa" w:w="6900"/>
          </w:tcPr>
          <w:p>
            <w:r/>
            <w:r>
              <w:rPr>
                <w:b/>
                <w:sz w:val="20"/>
              </w:rPr>
              <w:t xml:space="preserve">Version del programa (No. de revision de la semana): </w:t>
            </w:r>
            <w:r>
              <w:rPr>
                <w:sz w:val="20"/>
              </w:rPr>
              <w:t>__________</w:t>
            </w:r>
          </w:p>
        </w:tc>
      </w:tr>
    </w:tbl>
    <w:tbl>
      <w:tblPr>
        <w:tblW w:type="auto" w:w="0"/>
        <w:tblLook w:firstColumn="1" w:firstRow="1" w:lastColumn="0" w:lastRow="0" w:noHBand="0" w:noVBand="1" w:val="04A0"/>
        <w:tblBorders>
          <w:left w:val="single" w:sz="16" w:color="F0E528"/>
        </w:tblBorders>
      </w:tblPr>
      <w:tblGrid>
        <w:gridCol w:w="13800"/>
      </w:tblGrid>
      <w:tr>
        <w:tc>
          <w:tcPr>
            <w:tcW w:type="dxa" w:w="13800"/>
            <w:shd w:val="clear" w:fill="FFF9DB"/>
          </w:tcPr>
          <w:p>
            <w:r/>
            <w:r>
              <w:rPr>
                <w:rFonts w:ascii="Calibri" w:hAnsi="Calibri"/>
                <w:b w:val="0"/>
                <w:color w:val="003D80"/>
                <w:sz w:val="17"/>
              </w:rPr>
              <w:t>La lista de clientes listos y con anticipo se solicita a cada vendedor el jueves previo. La programacion prioriza las instalaciones mas atrasadas y reparte una por vendedor. Cada revision posterior del programa en la misma semana debe subir el numero de version para que Almacen y Cuadrillas trabajen siempre con la ultima.</w:t>
            </w:r>
          </w:p>
        </w:tc>
      </w:tr>
    </w:tbl>
    <w:p>
      <w:pPr>
        <w:spacing w:after="40"/>
      </w:pPr>
    </w:p>
    <w:p>
      <w:pPr>
        <w:keepNext/>
        <w:spacing w:before="200" w:after="80"/>
        <w:pBdr>
          <w:bottom w:val="single" w:sz="8" w:color="F0E528"/>
        </w:pBdr>
      </w:pPr>
      <w:r>
        <w:rPr>
          <w:rFonts w:ascii="Georgia" w:hAnsi="Georgia"/>
          <w:b/>
          <w:color w:val="0056B4"/>
          <w:sz w:val="20"/>
        </w:rPr>
        <w:t>MATRIZ DE INSTALACIONES DE LA SEMANA</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1380"/>
        <w:gridCol w:w="1380"/>
        <w:gridCol w:w="1380"/>
        <w:gridCol w:w="1380"/>
        <w:gridCol w:w="1380"/>
        <w:gridCol w:w="1380"/>
        <w:gridCol w:w="1380"/>
        <w:gridCol w:w="1380"/>
        <w:gridCol w:w="1380"/>
        <w:gridCol w:w="1380"/>
      </w:tblGrid>
      <w:tr>
        <w:tc>
          <w:tcPr>
            <w:tcW w:type="dxa" w:w="552"/>
            <w:shd w:val="clear" w:fill="0056B4"/>
          </w:tcPr>
          <w:p>
            <w:pPr>
              <w:jc w:val="center"/>
            </w:pPr>
            <w:r/>
            <w:r>
              <w:rPr>
                <w:rFonts w:ascii="Calibri" w:hAnsi="Calibri"/>
                <w:b/>
                <w:color w:val="FFFFFF"/>
                <w:sz w:val="17"/>
              </w:rPr>
              <w:t>No.</w:t>
            </w:r>
          </w:p>
        </w:tc>
        <w:tc>
          <w:tcPr>
            <w:tcW w:type="dxa" w:w="2208"/>
            <w:shd w:val="clear" w:fill="0056B4"/>
          </w:tcPr>
          <w:p>
            <w:pPr>
              <w:jc w:val="center"/>
            </w:pPr>
            <w:r/>
            <w:r>
              <w:rPr>
                <w:rFonts w:ascii="Calibri" w:hAnsi="Calibri"/>
                <w:b/>
                <w:color w:val="FFFFFF"/>
                <w:sz w:val="17"/>
              </w:rPr>
              <w:t>Cliente</w:t>
            </w:r>
          </w:p>
        </w:tc>
        <w:tc>
          <w:tcPr>
            <w:tcW w:type="dxa" w:w="1656"/>
            <w:shd w:val="clear" w:fill="0056B4"/>
          </w:tcPr>
          <w:p>
            <w:pPr>
              <w:jc w:val="center"/>
            </w:pPr>
            <w:r/>
            <w:r>
              <w:rPr>
                <w:rFonts w:ascii="Calibri" w:hAnsi="Calibri"/>
                <w:b/>
                <w:color w:val="FFFFFF"/>
                <w:sz w:val="17"/>
              </w:rPr>
              <w:t>Vendedor</w:t>
            </w:r>
          </w:p>
        </w:tc>
        <w:tc>
          <w:tcPr>
            <w:tcW w:type="dxa" w:w="1242"/>
            <w:shd w:val="clear" w:fill="0056B4"/>
          </w:tcPr>
          <w:p>
            <w:pPr>
              <w:jc w:val="center"/>
            </w:pPr>
            <w:r/>
            <w:r>
              <w:rPr>
                <w:rFonts w:ascii="Calibri" w:hAnsi="Calibri"/>
                <w:b/>
                <w:color w:val="FFFFFF"/>
                <w:sz w:val="17"/>
              </w:rPr>
              <w:t>Tipo (R / C / I)</w:t>
            </w:r>
          </w:p>
        </w:tc>
        <w:tc>
          <w:tcPr>
            <w:tcW w:type="dxa" w:w="1242"/>
            <w:shd w:val="clear" w:fill="0056B4"/>
          </w:tcPr>
          <w:p>
            <w:pPr>
              <w:jc w:val="center"/>
            </w:pPr>
            <w:r/>
            <w:r>
              <w:rPr>
                <w:rFonts w:ascii="Calibri" w:hAnsi="Calibri"/>
                <w:b/>
                <w:color w:val="FFFFFF"/>
                <w:sz w:val="17"/>
              </w:rPr>
              <w:t>Local / Foraneo</w:t>
            </w:r>
          </w:p>
        </w:tc>
        <w:tc>
          <w:tcPr>
            <w:tcW w:type="dxa" w:w="1518"/>
            <w:shd w:val="clear" w:fill="0056B4"/>
          </w:tcPr>
          <w:p>
            <w:pPr>
              <w:jc w:val="center"/>
            </w:pPr>
            <w:r/>
            <w:r>
              <w:rPr>
                <w:rFonts w:ascii="Calibri" w:hAnsi="Calibri"/>
                <w:b/>
                <w:color w:val="FFFFFF"/>
                <w:sz w:val="17"/>
              </w:rPr>
              <w:t>Anticipo confirmado (Si / No)</w:t>
            </w:r>
          </w:p>
        </w:tc>
        <w:tc>
          <w:tcPr>
            <w:tcW w:type="dxa" w:w="1242"/>
            <w:shd w:val="clear" w:fill="0056B4"/>
          </w:tcPr>
          <w:p>
            <w:pPr>
              <w:jc w:val="center"/>
            </w:pPr>
            <w:r/>
            <w:r>
              <w:rPr>
                <w:rFonts w:ascii="Calibri" w:hAnsi="Calibri"/>
                <w:b/>
                <w:color w:val="FFFFFF"/>
                <w:sz w:val="17"/>
              </w:rPr>
              <w:t>Fecha</w:t>
            </w:r>
          </w:p>
        </w:tc>
        <w:tc>
          <w:tcPr>
            <w:tcW w:type="dxa" w:w="1518"/>
            <w:shd w:val="clear" w:fill="0056B4"/>
          </w:tcPr>
          <w:p>
            <w:pPr>
              <w:jc w:val="center"/>
            </w:pPr>
            <w:r/>
            <w:r>
              <w:rPr>
                <w:rFonts w:ascii="Calibri" w:hAnsi="Calibri"/>
                <w:b/>
                <w:color w:val="FFFFFF"/>
                <w:sz w:val="17"/>
              </w:rPr>
              <w:t>Hora confirmada con cliente</w:t>
            </w:r>
          </w:p>
        </w:tc>
        <w:tc>
          <w:tcPr>
            <w:tcW w:type="dxa" w:w="1380"/>
            <w:shd w:val="clear" w:fill="0056B4"/>
          </w:tcPr>
          <w:p>
            <w:pPr>
              <w:jc w:val="center"/>
            </w:pPr>
            <w:r/>
            <w:r>
              <w:rPr>
                <w:rFonts w:ascii="Calibri" w:hAnsi="Calibri"/>
                <w:b/>
                <w:color w:val="FFFFFF"/>
                <w:sz w:val="17"/>
              </w:rPr>
              <w:t>Cuadrilla</w:t>
            </w:r>
          </w:p>
        </w:tc>
        <w:tc>
          <w:tcPr>
            <w:tcW w:type="dxa" w:w="1242"/>
            <w:shd w:val="clear" w:fill="0056B4"/>
          </w:tcPr>
          <w:p>
            <w:pPr>
              <w:jc w:val="center"/>
            </w:pPr>
            <w:r/>
            <w:r>
              <w:rPr>
                <w:rFonts w:ascii="Calibri" w:hAnsi="Calibri"/>
                <w:b/>
                <w:color w:val="FFFFFF"/>
                <w:sz w:val="17"/>
              </w:rPr>
              <w:t>Estatus</w:t>
            </w:r>
          </w:p>
        </w:tc>
      </w:tr>
      <w:tr>
        <w:tc>
          <w:tcPr>
            <w:tcW w:type="dxa" w:w="552"/>
          </w:tcPr>
          <w:p>
            <w:r/>
            <w:r>
              <w:rPr>
                <w:rFonts w:ascii="Calibri" w:hAnsi="Calibri"/>
                <w:b w:val="0"/>
                <w:sz w:val="19"/>
              </w:rPr>
            </w:r>
          </w:p>
        </w:tc>
        <w:tc>
          <w:tcPr>
            <w:tcW w:type="dxa" w:w="2208"/>
          </w:tcPr>
          <w:p>
            <w:r/>
            <w:r>
              <w:rPr>
                <w:rFonts w:ascii="Calibri" w:hAnsi="Calibri"/>
                <w:b w:val="0"/>
                <w:sz w:val="19"/>
              </w:rPr>
            </w:r>
          </w:p>
        </w:tc>
        <w:tc>
          <w:tcPr>
            <w:tcW w:type="dxa" w:w="1656"/>
          </w:tcPr>
          <w:p>
            <w:r/>
            <w:r>
              <w:rPr>
                <w:rFonts w:ascii="Calibri" w:hAnsi="Calibri"/>
                <w:b w:val="0"/>
                <w:sz w:val="19"/>
              </w:rPr>
            </w:r>
          </w:p>
        </w:tc>
        <w:tc>
          <w:tcPr>
            <w:tcW w:type="dxa" w:w="1242"/>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208"/>
          </w:tcPr>
          <w:p>
            <w:r/>
            <w:r>
              <w:rPr>
                <w:rFonts w:ascii="Calibri" w:hAnsi="Calibri"/>
                <w:b w:val="0"/>
                <w:sz w:val="19"/>
              </w:rPr>
            </w:r>
          </w:p>
        </w:tc>
        <w:tc>
          <w:tcPr>
            <w:tcW w:type="dxa" w:w="1656"/>
          </w:tcPr>
          <w:p>
            <w:r/>
            <w:r>
              <w:rPr>
                <w:rFonts w:ascii="Calibri" w:hAnsi="Calibri"/>
                <w:b w:val="0"/>
                <w:sz w:val="19"/>
              </w:rPr>
            </w:r>
          </w:p>
        </w:tc>
        <w:tc>
          <w:tcPr>
            <w:tcW w:type="dxa" w:w="1242"/>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208"/>
          </w:tcPr>
          <w:p>
            <w:r/>
            <w:r>
              <w:rPr>
                <w:rFonts w:ascii="Calibri" w:hAnsi="Calibri"/>
                <w:b w:val="0"/>
                <w:sz w:val="19"/>
              </w:rPr>
            </w:r>
          </w:p>
        </w:tc>
        <w:tc>
          <w:tcPr>
            <w:tcW w:type="dxa" w:w="1656"/>
          </w:tcPr>
          <w:p>
            <w:r/>
            <w:r>
              <w:rPr>
                <w:rFonts w:ascii="Calibri" w:hAnsi="Calibri"/>
                <w:b w:val="0"/>
                <w:sz w:val="19"/>
              </w:rPr>
            </w:r>
          </w:p>
        </w:tc>
        <w:tc>
          <w:tcPr>
            <w:tcW w:type="dxa" w:w="1242"/>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208"/>
          </w:tcPr>
          <w:p>
            <w:r/>
            <w:r>
              <w:rPr>
                <w:rFonts w:ascii="Calibri" w:hAnsi="Calibri"/>
                <w:b w:val="0"/>
                <w:sz w:val="19"/>
              </w:rPr>
            </w:r>
          </w:p>
        </w:tc>
        <w:tc>
          <w:tcPr>
            <w:tcW w:type="dxa" w:w="1656"/>
          </w:tcPr>
          <w:p>
            <w:r/>
            <w:r>
              <w:rPr>
                <w:rFonts w:ascii="Calibri" w:hAnsi="Calibri"/>
                <w:b w:val="0"/>
                <w:sz w:val="19"/>
              </w:rPr>
            </w:r>
          </w:p>
        </w:tc>
        <w:tc>
          <w:tcPr>
            <w:tcW w:type="dxa" w:w="1242"/>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208"/>
          </w:tcPr>
          <w:p>
            <w:r/>
            <w:r>
              <w:rPr>
                <w:rFonts w:ascii="Calibri" w:hAnsi="Calibri"/>
                <w:b w:val="0"/>
                <w:sz w:val="19"/>
              </w:rPr>
            </w:r>
          </w:p>
        </w:tc>
        <w:tc>
          <w:tcPr>
            <w:tcW w:type="dxa" w:w="1656"/>
          </w:tcPr>
          <w:p>
            <w:r/>
            <w:r>
              <w:rPr>
                <w:rFonts w:ascii="Calibri" w:hAnsi="Calibri"/>
                <w:b w:val="0"/>
                <w:sz w:val="19"/>
              </w:rPr>
            </w:r>
          </w:p>
        </w:tc>
        <w:tc>
          <w:tcPr>
            <w:tcW w:type="dxa" w:w="1242"/>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208"/>
          </w:tcPr>
          <w:p>
            <w:r/>
            <w:r>
              <w:rPr>
                <w:rFonts w:ascii="Calibri" w:hAnsi="Calibri"/>
                <w:b w:val="0"/>
                <w:sz w:val="19"/>
              </w:rPr>
            </w:r>
          </w:p>
        </w:tc>
        <w:tc>
          <w:tcPr>
            <w:tcW w:type="dxa" w:w="1656"/>
          </w:tcPr>
          <w:p>
            <w:r/>
            <w:r>
              <w:rPr>
                <w:rFonts w:ascii="Calibri" w:hAnsi="Calibri"/>
                <w:b w:val="0"/>
                <w:sz w:val="19"/>
              </w:rPr>
            </w:r>
          </w:p>
        </w:tc>
        <w:tc>
          <w:tcPr>
            <w:tcW w:type="dxa" w:w="1242"/>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208"/>
          </w:tcPr>
          <w:p>
            <w:r/>
            <w:r>
              <w:rPr>
                <w:rFonts w:ascii="Calibri" w:hAnsi="Calibri"/>
                <w:b w:val="0"/>
                <w:sz w:val="19"/>
              </w:rPr>
            </w:r>
          </w:p>
        </w:tc>
        <w:tc>
          <w:tcPr>
            <w:tcW w:type="dxa" w:w="1656"/>
          </w:tcPr>
          <w:p>
            <w:r/>
            <w:r>
              <w:rPr>
                <w:rFonts w:ascii="Calibri" w:hAnsi="Calibri"/>
                <w:b w:val="0"/>
                <w:sz w:val="19"/>
              </w:rPr>
            </w:r>
          </w:p>
        </w:tc>
        <w:tc>
          <w:tcPr>
            <w:tcW w:type="dxa" w:w="1242"/>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208"/>
          </w:tcPr>
          <w:p>
            <w:r/>
            <w:r>
              <w:rPr>
                <w:rFonts w:ascii="Calibri" w:hAnsi="Calibri"/>
                <w:b w:val="0"/>
                <w:sz w:val="19"/>
              </w:rPr>
            </w:r>
          </w:p>
        </w:tc>
        <w:tc>
          <w:tcPr>
            <w:tcW w:type="dxa" w:w="1656"/>
          </w:tcPr>
          <w:p>
            <w:r/>
            <w:r>
              <w:rPr>
                <w:rFonts w:ascii="Calibri" w:hAnsi="Calibri"/>
                <w:b w:val="0"/>
                <w:sz w:val="19"/>
              </w:rPr>
            </w:r>
          </w:p>
        </w:tc>
        <w:tc>
          <w:tcPr>
            <w:tcW w:type="dxa" w:w="1242"/>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208"/>
          </w:tcPr>
          <w:p>
            <w:r/>
            <w:r>
              <w:rPr>
                <w:rFonts w:ascii="Calibri" w:hAnsi="Calibri"/>
                <w:b w:val="0"/>
                <w:sz w:val="19"/>
              </w:rPr>
            </w:r>
          </w:p>
        </w:tc>
        <w:tc>
          <w:tcPr>
            <w:tcW w:type="dxa" w:w="1656"/>
          </w:tcPr>
          <w:p>
            <w:r/>
            <w:r>
              <w:rPr>
                <w:rFonts w:ascii="Calibri" w:hAnsi="Calibri"/>
                <w:b w:val="0"/>
                <w:sz w:val="19"/>
              </w:rPr>
            </w:r>
          </w:p>
        </w:tc>
        <w:tc>
          <w:tcPr>
            <w:tcW w:type="dxa" w:w="1242"/>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208"/>
          </w:tcPr>
          <w:p>
            <w:r/>
            <w:r>
              <w:rPr>
                <w:rFonts w:ascii="Calibri" w:hAnsi="Calibri"/>
                <w:b w:val="0"/>
                <w:sz w:val="19"/>
              </w:rPr>
            </w:r>
          </w:p>
        </w:tc>
        <w:tc>
          <w:tcPr>
            <w:tcW w:type="dxa" w:w="1656"/>
          </w:tcPr>
          <w:p>
            <w:r/>
            <w:r>
              <w:rPr>
                <w:rFonts w:ascii="Calibri" w:hAnsi="Calibri"/>
                <w:b w:val="0"/>
                <w:sz w:val="19"/>
              </w:rPr>
            </w:r>
          </w:p>
        </w:tc>
        <w:tc>
          <w:tcPr>
            <w:tcW w:type="dxa" w:w="1242"/>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208"/>
          </w:tcPr>
          <w:p>
            <w:r/>
            <w:r>
              <w:rPr>
                <w:rFonts w:ascii="Calibri" w:hAnsi="Calibri"/>
                <w:b w:val="0"/>
                <w:sz w:val="19"/>
              </w:rPr>
            </w:r>
          </w:p>
        </w:tc>
        <w:tc>
          <w:tcPr>
            <w:tcW w:type="dxa" w:w="1656"/>
          </w:tcPr>
          <w:p>
            <w:r/>
            <w:r>
              <w:rPr>
                <w:rFonts w:ascii="Calibri" w:hAnsi="Calibri"/>
                <w:b w:val="0"/>
                <w:sz w:val="19"/>
              </w:rPr>
            </w:r>
          </w:p>
        </w:tc>
        <w:tc>
          <w:tcPr>
            <w:tcW w:type="dxa" w:w="1242"/>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208"/>
          </w:tcPr>
          <w:p>
            <w:r/>
            <w:r>
              <w:rPr>
                <w:rFonts w:ascii="Calibri" w:hAnsi="Calibri"/>
                <w:b w:val="0"/>
                <w:sz w:val="19"/>
              </w:rPr>
            </w:r>
          </w:p>
        </w:tc>
        <w:tc>
          <w:tcPr>
            <w:tcW w:type="dxa" w:w="1656"/>
          </w:tcPr>
          <w:p>
            <w:r/>
            <w:r>
              <w:rPr>
                <w:rFonts w:ascii="Calibri" w:hAnsi="Calibri"/>
                <w:b w:val="0"/>
                <w:sz w:val="19"/>
              </w:rPr>
            </w:r>
          </w:p>
        </w:tc>
        <w:tc>
          <w:tcPr>
            <w:tcW w:type="dxa" w:w="1242"/>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208"/>
          </w:tcPr>
          <w:p>
            <w:r/>
            <w:r>
              <w:rPr>
                <w:rFonts w:ascii="Calibri" w:hAnsi="Calibri"/>
                <w:b w:val="0"/>
                <w:sz w:val="19"/>
              </w:rPr>
            </w:r>
          </w:p>
        </w:tc>
        <w:tc>
          <w:tcPr>
            <w:tcW w:type="dxa" w:w="1656"/>
          </w:tcPr>
          <w:p>
            <w:r/>
            <w:r>
              <w:rPr>
                <w:rFonts w:ascii="Calibri" w:hAnsi="Calibri"/>
                <w:b w:val="0"/>
                <w:sz w:val="19"/>
              </w:rPr>
            </w:r>
          </w:p>
        </w:tc>
        <w:tc>
          <w:tcPr>
            <w:tcW w:type="dxa" w:w="1242"/>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r>
        <w:tc>
          <w:tcPr>
            <w:tcW w:type="dxa" w:w="552"/>
          </w:tcPr>
          <w:p>
            <w:r/>
            <w:r>
              <w:rPr>
                <w:rFonts w:ascii="Calibri" w:hAnsi="Calibri"/>
                <w:b w:val="0"/>
                <w:sz w:val="19"/>
              </w:rPr>
            </w:r>
          </w:p>
        </w:tc>
        <w:tc>
          <w:tcPr>
            <w:tcW w:type="dxa" w:w="2208"/>
          </w:tcPr>
          <w:p>
            <w:r/>
            <w:r>
              <w:rPr>
                <w:rFonts w:ascii="Calibri" w:hAnsi="Calibri"/>
                <w:b w:val="0"/>
                <w:sz w:val="19"/>
              </w:rPr>
            </w:r>
          </w:p>
        </w:tc>
        <w:tc>
          <w:tcPr>
            <w:tcW w:type="dxa" w:w="1656"/>
          </w:tcPr>
          <w:p>
            <w:r/>
            <w:r>
              <w:rPr>
                <w:rFonts w:ascii="Calibri" w:hAnsi="Calibri"/>
                <w:b w:val="0"/>
                <w:sz w:val="19"/>
              </w:rPr>
            </w:r>
          </w:p>
        </w:tc>
        <w:tc>
          <w:tcPr>
            <w:tcW w:type="dxa" w:w="1242"/>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242"/>
          </w:tcPr>
          <w:p>
            <w:r/>
            <w:r>
              <w:rPr>
                <w:rFonts w:ascii="Calibri" w:hAnsi="Calibri"/>
                <w:b w:val="0"/>
                <w:sz w:val="19"/>
              </w:rPr>
            </w:r>
          </w:p>
        </w:tc>
        <w:tc>
          <w:tcPr>
            <w:tcW w:type="dxa" w:w="1518"/>
          </w:tcPr>
          <w:p>
            <w:r/>
            <w:r>
              <w:rPr>
                <w:rFonts w:ascii="Calibri" w:hAnsi="Calibri"/>
                <w:b w:val="0"/>
                <w:sz w:val="19"/>
              </w:rPr>
            </w:r>
          </w:p>
        </w:tc>
        <w:tc>
          <w:tcPr>
            <w:tcW w:type="dxa" w:w="1380"/>
          </w:tcPr>
          <w:p>
            <w:r/>
            <w:r>
              <w:rPr>
                <w:rFonts w:ascii="Calibri" w:hAnsi="Calibri"/>
                <w:b w:val="0"/>
                <w:sz w:val="19"/>
              </w:rPr>
            </w:r>
          </w:p>
        </w:tc>
        <w:tc>
          <w:tcPr>
            <w:tcW w:type="dxa" w:w="1242"/>
          </w:tcPr>
          <w:p>
            <w:r/>
            <w:r>
              <w:rPr>
                <w:rFonts w:ascii="Calibri" w:hAnsi="Calibri"/>
                <w:b w:val="0"/>
                <w:sz w:val="19"/>
              </w:rPr>
            </w:r>
          </w:p>
        </w:tc>
      </w:tr>
    </w:tbl>
    <w:tbl>
      <w:tblPr>
        <w:tblW w:type="auto" w:w="0"/>
        <w:tblLook w:firstColumn="1" w:firstRow="1" w:lastColumn="0" w:lastRow="0" w:noHBand="0" w:noVBand="1" w:val="04A0"/>
        <w:tblBorders>
          <w:left w:val="single" w:sz="16" w:color="F0E528"/>
        </w:tblBorders>
      </w:tblPr>
      <w:tblGrid>
        <w:gridCol w:w="13800"/>
      </w:tblGrid>
      <w:tr>
        <w:tc>
          <w:tcPr>
            <w:tcW w:type="dxa" w:w="13800"/>
            <w:shd w:val="clear" w:fill="FFF9DB"/>
          </w:tcPr>
          <w:p>
            <w:r/>
            <w:r>
              <w:rPr>
                <w:rFonts w:ascii="Calibri" w:hAnsi="Calibri"/>
                <w:b w:val="0"/>
                <w:color w:val="003D80"/>
                <w:sz w:val="17"/>
              </w:rPr>
              <w:t>Tipo: R = residencial, C = comercial, I = industrial. Las instalaciones industriales y de licitacion se marcan como I porque su material (inversores y material electrico de calibres especiales) no es de existencia en almacen y requiere gestion aparte. Estatus permitidos: Tentativa (sin anticipo confirmado), Programada, Confirmada con cliente, Material solicitado a Almacen, En ejecucion, Concluida, Reprogramada.</w:t>
            </w:r>
          </w:p>
        </w:tc>
      </w:tr>
    </w:tbl>
    <w:p>
      <w:pPr>
        <w:spacing w:after="40"/>
      </w:pPr>
    </w:p>
    <w:p>
      <w:pPr>
        <w:keepNext/>
        <w:spacing w:before="200" w:after="80"/>
        <w:pBdr>
          <w:bottom w:val="single" w:sz="8" w:color="F0E528"/>
        </w:pBdr>
      </w:pPr>
      <w:r>
        <w:rPr>
          <w:rFonts w:ascii="Georgia" w:hAnsi="Georgia"/>
          <w:b/>
          <w:color w:val="0056B4"/>
          <w:sz w:val="20"/>
        </w:rPr>
        <w:t>REGLA DE ANTICIPO (CONDICION DE ENTRADA OBLIGATORIA)</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6900"/>
        <w:gridCol w:w="6900"/>
      </w:tblGrid>
      <w:tr>
        <w:tc>
          <w:tcPr>
            <w:tcW w:type="dxa" w:w="7590"/>
            <w:shd w:val="clear" w:fill="0056B4"/>
          </w:tcPr>
          <w:p>
            <w:pPr>
              <w:jc w:val="center"/>
            </w:pPr>
            <w:r/>
            <w:r>
              <w:rPr>
                <w:rFonts w:ascii="Calibri" w:hAnsi="Calibri"/>
                <w:b/>
                <w:color w:val="FFFFFF"/>
                <w:sz w:val="17"/>
              </w:rPr>
              <w:t>Condicion de la instalacion</w:t>
            </w:r>
          </w:p>
        </w:tc>
        <w:tc>
          <w:tcPr>
            <w:tcW w:type="dxa" w:w="6210"/>
            <w:shd w:val="clear" w:fill="0056B4"/>
          </w:tcPr>
          <w:p>
            <w:pPr>
              <w:jc w:val="center"/>
            </w:pPr>
            <w:r/>
            <w:r>
              <w:rPr>
                <w:rFonts w:ascii="Calibri" w:hAnsi="Calibri"/>
                <w:b/>
                <w:color w:val="FFFFFF"/>
                <w:sz w:val="17"/>
              </w:rPr>
              <w:t>Accion sobre el programa</w:t>
            </w:r>
          </w:p>
        </w:tc>
      </w:tr>
      <w:tr>
        <w:tc>
          <w:tcPr>
            <w:tcW w:type="dxa" w:w="7590"/>
          </w:tcPr>
          <w:p>
            <w:r/>
            <w:r>
              <w:rPr>
                <w:rFonts w:ascii="Calibri" w:hAnsi="Calibri"/>
                <w:b w:val="0"/>
                <w:sz w:val="19"/>
              </w:rPr>
              <w:t>Anticipo confirmado (Si) y fecha y hora acordadas con el cliente</w:t>
            </w:r>
          </w:p>
        </w:tc>
        <w:tc>
          <w:tcPr>
            <w:tcW w:type="dxa" w:w="6210"/>
          </w:tcPr>
          <w:p>
            <w:r/>
            <w:r>
              <w:rPr>
                <w:rFonts w:ascii="Calibri" w:hAnsi="Calibri"/>
                <w:b w:val="0"/>
                <w:sz w:val="19"/>
              </w:rPr>
              <w:t>Se programa y se comunica a Almacen para verificacion de material.</w:t>
            </w:r>
          </w:p>
        </w:tc>
      </w:tr>
      <w:tr>
        <w:tc>
          <w:tcPr>
            <w:tcW w:type="dxa" w:w="7590"/>
          </w:tcPr>
          <w:p>
            <w:r/>
            <w:r>
              <w:rPr>
                <w:rFonts w:ascii="Calibri" w:hAnsi="Calibri"/>
                <w:b w:val="0"/>
                <w:sz w:val="19"/>
              </w:rPr>
              <w:t>Anticipo No confirmado</w:t>
            </w:r>
          </w:p>
        </w:tc>
        <w:tc>
          <w:tcPr>
            <w:tcW w:type="dxa" w:w="6210"/>
          </w:tcPr>
          <w:p>
            <w:r/>
            <w:r>
              <w:rPr>
                <w:rFonts w:ascii="Calibri" w:hAnsi="Calibri"/>
                <w:b w:val="0"/>
                <w:sz w:val="19"/>
              </w:rPr>
              <w:t>No se programa como instalacion firme. Puede listarse marcando Anticipo = No y Estatus = Tentativa, pero no dispara solicitud de material hasta confirmar anticipo.</w:t>
            </w:r>
          </w:p>
        </w:tc>
      </w:tr>
      <w:tr>
        <w:tc>
          <w:tcPr>
            <w:tcW w:type="dxa" w:w="7590"/>
          </w:tcPr>
          <w:p>
            <w:r/>
            <w:r>
              <w:rPr>
                <w:rFonts w:ascii="Calibri" w:hAnsi="Calibri"/>
                <w:b w:val="0"/>
                <w:sz w:val="19"/>
              </w:rPr>
              <w:t>Cliente sin fecha y hora acordada</w:t>
            </w:r>
          </w:p>
        </w:tc>
        <w:tc>
          <w:tcPr>
            <w:tcW w:type="dxa" w:w="6210"/>
          </w:tcPr>
          <w:p>
            <w:r/>
            <w:r>
              <w:rPr>
                <w:rFonts w:ascii="Calibri" w:hAnsi="Calibri"/>
                <w:b w:val="0"/>
                <w:sz w:val="19"/>
              </w:rPr>
              <w:t>No se programa. Riesgo de vuelo en falso por falta de comunicacion vendedor a cliente. El vendedor debe cerrar fecha y hora antes de subirla a la matriz.</w:t>
            </w:r>
          </w:p>
        </w:tc>
      </w:tr>
    </w:tbl>
    <w:tbl>
      <w:tblPr>
        <w:tblW w:type="auto" w:w="0"/>
        <w:tblLook w:firstColumn="1" w:firstRow="1" w:lastColumn="0" w:lastRow="0" w:noHBand="0" w:noVBand="1" w:val="04A0"/>
        <w:tblBorders>
          <w:left w:val="single" w:sz="16" w:color="F0E528"/>
        </w:tblBorders>
      </w:tblPr>
      <w:tblGrid>
        <w:gridCol w:w="13800"/>
      </w:tblGrid>
      <w:tr>
        <w:tc>
          <w:tcPr>
            <w:tcW w:type="dxa" w:w="13800"/>
            <w:shd w:val="clear" w:fill="FFF9DB"/>
          </w:tcPr>
          <w:p>
            <w:r/>
            <w:r>
              <w:rPr>
                <w:rFonts w:ascii="Calibri" w:hAnsi="Calibri"/>
                <w:b w:val="0"/>
                <w:color w:val="003D80"/>
                <w:sz w:val="17"/>
              </w:rPr>
              <w:t>El anticipo es la condicion de entrada al programa. Cerrar fecha y hora directamente con el cliente antes de programar evita reprogramaciones y vuelos en falso, que hoy se originan por falta de comunicacion entre vendedor y cliente. La liberacion o cobranza de la instalacion no se gestiona en este formato: es responsabilidad de Comercial y Administracion conforme a PRO-VEN-05.</w:t>
            </w:r>
          </w:p>
        </w:tc>
      </w:tr>
    </w:tbl>
    <w:p>
      <w:pPr>
        <w:spacing w:after="40"/>
      </w:pPr>
    </w:p>
    <w:p>
      <w:pPr>
        <w:keepNext/>
        <w:spacing w:before="200" w:after="80"/>
        <w:pBdr>
          <w:bottom w:val="single" w:sz="8" w:color="F0E528"/>
        </w:pBdr>
      </w:pPr>
      <w:r>
        <w:rPr>
          <w:rFonts w:ascii="Georgia" w:hAnsi="Georgia"/>
          <w:b/>
          <w:color w:val="0056B4"/>
          <w:sz w:val="20"/>
        </w:rPr>
        <w:t>VENTANA DE AVISO A ALMACEN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6900"/>
        <w:gridCol w:w="6900"/>
      </w:tblGrid>
      <w:tr>
        <w:tc>
          <w:tcPr>
            <w:tcW w:type="dxa" w:w="5520"/>
            <w:shd w:val="clear" w:fill="0056B4"/>
          </w:tcPr>
          <w:p>
            <w:pPr>
              <w:jc w:val="center"/>
            </w:pPr>
            <w:r/>
            <w:r>
              <w:rPr>
                <w:rFonts w:ascii="Calibri" w:hAnsi="Calibri"/>
                <w:b/>
                <w:color w:val="FFFFFF"/>
                <w:sz w:val="17"/>
              </w:rPr>
              <w:t>Ubicacion de la instalacion</w:t>
            </w:r>
          </w:p>
        </w:tc>
        <w:tc>
          <w:tcPr>
            <w:tcW w:type="dxa" w:w="8280"/>
            <w:shd w:val="clear" w:fill="0056B4"/>
          </w:tcPr>
          <w:p>
            <w:pPr>
              <w:jc w:val="center"/>
            </w:pPr>
            <w:r/>
            <w:r>
              <w:rPr>
                <w:rFonts w:ascii="Calibri" w:hAnsi="Calibri"/>
                <w:b/>
                <w:color w:val="FFFFFF"/>
                <w:sz w:val="17"/>
              </w:rPr>
              <w:t>Anticipacion minima de publicacion del programa</w:t>
            </w:r>
          </w:p>
        </w:tc>
      </w:tr>
      <w:tr>
        <w:tc>
          <w:tcPr>
            <w:tcW w:type="dxa" w:w="5520"/>
          </w:tcPr>
          <w:p>
            <w:r/>
            <w:r>
              <w:rPr>
                <w:rFonts w:ascii="Calibri" w:hAnsi="Calibri"/>
                <w:b w:val="0"/>
                <w:sz w:val="19"/>
              </w:rPr>
              <w:t>Local</w:t>
            </w:r>
          </w:p>
        </w:tc>
        <w:tc>
          <w:tcPr>
            <w:tcW w:type="dxa" w:w="8280"/>
          </w:tcPr>
          <w:p>
            <w:r/>
            <w:r>
              <w:rPr>
                <w:rFonts w:ascii="Calibri" w:hAnsi="Calibri"/>
                <w:b w:val="0"/>
                <w:sz w:val="19"/>
              </w:rPr>
              <w:t>Al menos 1 dia habil antes de la fecha de instalacion.</w:t>
            </w:r>
          </w:p>
        </w:tc>
      </w:tr>
      <w:tr>
        <w:tc>
          <w:tcPr>
            <w:tcW w:type="dxa" w:w="5520"/>
          </w:tcPr>
          <w:p>
            <w:r/>
            <w:r>
              <w:rPr>
                <w:rFonts w:ascii="Calibri" w:hAnsi="Calibri"/>
                <w:b w:val="0"/>
                <w:sz w:val="19"/>
              </w:rPr>
              <w:t>Foraneo</w:t>
            </w:r>
          </w:p>
        </w:tc>
        <w:tc>
          <w:tcPr>
            <w:tcW w:type="dxa" w:w="8280"/>
          </w:tcPr>
          <w:p>
            <w:r/>
            <w:r>
              <w:rPr>
                <w:rFonts w:ascii="Calibri" w:hAnsi="Calibri"/>
                <w:b w:val="0"/>
                <w:sz w:val="19"/>
              </w:rPr>
              <w:t>Al menos 2 dias habiles antes de la fecha de instalacion.</w:t>
            </w:r>
          </w:p>
        </w:tc>
      </w:tr>
    </w:tbl>
    <w:tbl>
      <w:tblPr>
        <w:tblW w:type="auto" w:w="0"/>
        <w:tblLook w:firstColumn="1" w:firstRow="1" w:lastColumn="0" w:lastRow="0" w:noHBand="0" w:noVBand="1" w:val="04A0"/>
        <w:tblBorders>
          <w:left w:val="single" w:sz="16" w:color="F0E528"/>
        </w:tblBorders>
      </w:tblPr>
      <w:tblGrid>
        <w:gridCol w:w="13800"/>
      </w:tblGrid>
      <w:tr>
        <w:tc>
          <w:tcPr>
            <w:tcW w:type="dxa" w:w="13800"/>
            <w:shd w:val="clear" w:fill="FFF9DB"/>
          </w:tcPr>
          <w:p>
            <w:r/>
            <w:r>
              <w:rPr>
                <w:rFonts w:ascii="Calibri" w:hAnsi="Calibri"/>
                <w:b w:val="0"/>
                <w:color w:val="003D80"/>
                <w:sz w:val="17"/>
              </w:rPr>
              <w:t>Almacen no tiene visibilidad de la operacion hasta que se publica este programa. El dia de la publicacion Almacen verifica disponibilidad y, cuando falta material, lo solicita. Respetar la ventana de 1 dia local y 2 dias foraneo da tiempo a Almacen para verificar existencias y gestionar faltantes antes de la fecha. El detalle de material por instalacion (estructura, paneles con marca y cantidad, inversor y material electrico) se traslada a Almacen en el formato de surtido correspondiente, que se llena revisando el render del proyecto; esta matriz solo indica que la instalacion existe y cuando.</w:t>
            </w:r>
          </w:p>
        </w:tc>
      </w:tr>
    </w:tbl>
    <w:p>
      <w:pPr>
        <w:spacing w:after="40"/>
      </w:pPr>
    </w:p>
    <w:tbl>
      <w:tblPr>
        <w:tblW w:type="auto" w:w="0"/>
        <w:tblLook w:firstColumn="1" w:firstRow="1" w:lastColumn="0" w:lastRow="0" w:noHBand="0" w:noVBand="1" w:val="04A0"/>
        <w:tblBorders>
          <w:left w:val="single" w:sz="16" w:color="F0E528"/>
        </w:tblBorders>
      </w:tblPr>
      <w:tblGrid>
        <w:gridCol w:w="13800"/>
      </w:tblGrid>
      <w:tr>
        <w:tc>
          <w:tcPr>
            <w:tcW w:type="dxa" w:w="13800"/>
            <w:shd w:val="clear" w:fill="FFF9DB"/>
          </w:tcPr>
          <w:p>
            <w:r/>
            <w:r>
              <w:rPr>
                <w:rFonts w:ascii="Calibri" w:hAnsi="Calibri"/>
                <w:b w:val="0"/>
                <w:color w:val="003D80"/>
                <w:sz w:val="17"/>
              </w:rPr>
              <w:t>Frontera: este formato programa y comunica; no registra material en Bind, no verifica existencias fisicas ni entrega packing list (Almacen), no captura entradas al sistema (Compras) y no gestiona pagos ni liberacion (Comercial y Administracion). Los retrabajos o defectos posteriores a la instalacion se canalizan a Postventa conforme a los procedimientos PRO-PVM.</w:t>
            </w:r>
          </w:p>
        </w:tc>
      </w:tr>
    </w:tbl>
    <w:p>
      <w:pPr>
        <w:spacing w:after="40"/>
      </w:pPr>
    </w:p>
    <w:p>
      <w:pPr>
        <w:keepNext/>
        <w:spacing w:after="320"/>
      </w:pPr>
    </w:p>
    <w:tbl>
      <w:tblPr>
        <w:tblW w:type="auto" w:w="0"/>
        <w:tblLook w:firstColumn="1" w:firstRow="1" w:lastColumn="0" w:lastRow="0" w:noHBand="0" w:noVBand="1" w:val="04A0"/>
      </w:tblPr>
      <w:tblGrid>
        <w:gridCol w:w="4600"/>
        <w:gridCol w:w="4600"/>
        <w:gridCol w:w="4600"/>
      </w:tblGrid>
      <w:tr>
        <w:tc>
          <w:tcPr>
            <w:tcW w:type="dxa" w:w="4600"/>
          </w:tcPr>
          <w:p>
            <w:pPr>
              <w:jc w:val="center"/>
            </w:pPr>
            <w:r/>
            <w:r>
              <w:rPr>
                <w:sz w:val="20"/>
              </w:rPr>
              <w:t>__________________________</w:t>
            </w:r>
          </w:p>
        </w:tc>
        <w:tc>
          <w:tcPr>
            <w:tcW w:type="dxa" w:w="4600"/>
          </w:tcPr>
          <w:p>
            <w:pPr>
              <w:jc w:val="center"/>
            </w:pPr>
            <w:r/>
            <w:r>
              <w:rPr>
                <w:sz w:val="20"/>
              </w:rPr>
              <w:t>__________________________</w:t>
            </w:r>
          </w:p>
        </w:tc>
        <w:tc>
          <w:tcPr>
            <w:tcW w:type="dxa" w:w="4600"/>
          </w:tcPr>
          <w:p>
            <w:pPr>
              <w:jc w:val="center"/>
            </w:pPr>
            <w:r/>
            <w:r>
              <w:rPr>
                <w:sz w:val="20"/>
              </w:rPr>
              <w:t>__________________________</w:t>
            </w:r>
          </w:p>
        </w:tc>
      </w:tr>
      <w:tr>
        <w:tc>
          <w:tcPr>
            <w:tcW w:type="dxa" w:w="4600"/>
          </w:tcPr>
          <w:p>
            <w:pPr>
              <w:jc w:val="center"/>
            </w:pPr>
            <w:r/>
            <w:r>
              <w:rPr>
                <w:rFonts w:ascii="Calibri" w:hAnsi="Calibri"/>
                <w:b w:val="0"/>
                <w:color w:val="595959"/>
                <w:sz w:val="17"/>
              </w:rPr>
              <w:t>Elaboro (Responsable de la programacion)</w:t>
            </w:r>
          </w:p>
        </w:tc>
        <w:tc>
          <w:tcPr>
            <w:tcW w:type="dxa" w:w="4600"/>
          </w:tcPr>
          <w:p>
            <w:pPr>
              <w:jc w:val="center"/>
            </w:pPr>
            <w:r/>
            <w:r>
              <w:rPr>
                <w:rFonts w:ascii="Calibri" w:hAnsi="Calibri"/>
                <w:b w:val="0"/>
                <w:color w:val="595959"/>
                <w:sz w:val="17"/>
              </w:rPr>
              <w:t>Reviso (Coordinacion de Operaciones)</w:t>
            </w:r>
          </w:p>
        </w:tc>
        <w:tc>
          <w:tcPr>
            <w:tcW w:type="dxa" w:w="4600"/>
          </w:tcPr>
          <w:p>
            <w:pPr>
              <w:jc w:val="center"/>
            </w:pPr>
            <w:r/>
            <w:r>
              <w:rPr>
                <w:rFonts w:ascii="Calibri" w:hAnsi="Calibri"/>
                <w:b w:val="0"/>
                <w:color w:val="595959"/>
                <w:sz w:val="17"/>
              </w:rPr>
              <w:t>Recibio (Almacen)</w:t>
            </w:r>
          </w:p>
        </w:tc>
      </w:tr>
    </w:tbl>
    <w:sectPr w:rsidR="00FC693F" w:rsidRPr="0006063C" w:rsidSect="00034616">
      <w:footerReference w:type="default" r:id="rId10"/>
      <w:pgSz w:w="15840" w:h="12240" w:orient="landscape"/>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Formato de Operaciones · FOR-OPE-01 V1.0</w:t>
    </w:r>
    <w:r>
      <w:tab/>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