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448"/>
            <w:vMerge w:val="restart"/>
          </w:tcPr>
          <w:p>
            <w:pPr>
              <w:jc w:val="center"/>
            </w:pPr>
            <w:r/>
            <w:r>
              <w:drawing>
                <wp:inline xmlns:a="http://schemas.openxmlformats.org/drawingml/2006/main" xmlns:pic="http://schemas.openxmlformats.org/drawingml/2006/picture">
                  <wp:extent cx="1224000" cy="402171"/>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1224000" cy="402171"/>
                          </a:xfrm>
                          <a:prstGeom prst="rect"/>
                        </pic:spPr>
                      </pic:pic>
                    </a:graphicData>
                  </a:graphic>
                </wp:inline>
              </w:drawing>
            </w:r>
          </w:p>
        </w:tc>
        <w:tc>
          <w:tcPr>
            <w:tcW w:type="dxa" w:w="4080"/>
            <w:vMerge w:val="restart"/>
            <w:shd w:val="clear" w:fill="F2F2F2"/>
          </w:tcPr>
          <w:p>
            <w:pPr>
              <w:jc w:val="center"/>
            </w:pPr>
            <w:r/>
            <w:r>
              <w:rPr>
                <w:rFonts w:ascii="Georgia" w:hAnsi="Georgia"/>
                <w:b/>
                <w:sz w:val="26"/>
              </w:rPr>
              <w:t>Programación Semanal de Instalaciones</w:t>
            </w:r>
          </w:p>
        </w:tc>
        <w:tc>
          <w:tcPr>
            <w:tcW w:type="dxa" w:w="1836"/>
          </w:tcPr>
          <w:p>
            <w:r/>
            <w:r>
              <w:rPr>
                <w:rFonts w:ascii="Calibri" w:hAnsi="Calibri"/>
                <w:b/>
                <w:sz w:val="15"/>
              </w:rPr>
              <w:t xml:space="preserve">Código: </w:t>
            </w:r>
            <w:r>
              <w:rPr>
                <w:rFonts w:ascii="Calibri" w:hAnsi="Calibri"/>
                <w:sz w:val="15"/>
              </w:rPr>
              <w:t>PRO-OPE-01</w:t>
            </w:r>
          </w:p>
        </w:tc>
        <w:tc>
          <w:tcPr>
            <w:tcW w:type="dxa" w:w="1836"/>
          </w:tcPr>
          <w:p>
            <w:r/>
            <w:r>
              <w:rPr>
                <w:rFonts w:ascii="Calibri" w:hAnsi="Calibri"/>
                <w:b/>
                <w:sz w:val="15"/>
              </w:rPr>
              <w:t xml:space="preserve">Versión: </w:t>
            </w:r>
            <w:r>
              <w:rPr>
                <w:rFonts w:ascii="Calibri" w:hAnsi="Calibri"/>
                <w:sz w:val="15"/>
              </w:rPr>
              <w:t>1.0</w:t>
            </w:r>
          </w:p>
        </w:tc>
      </w:tr>
      <w:tr>
        <w:tc>
          <w:tcPr>
            <w:tcW w:type="dxa" w:w="2448"/>
            <w:vMerge/>
          </w:tcPr>
          <w:p/>
        </w:tc>
        <w:tc>
          <w:tcPr>
            <w:tcW w:type="dxa" w:w="4080"/>
            <w:vMerge/>
          </w:tcPr>
          <w:p/>
        </w:tc>
        <w:tc>
          <w:tcPr>
            <w:tcW w:type="dxa" w:w="1836"/>
          </w:tcPr>
          <w:p>
            <w:r/>
            <w:r>
              <w:rPr>
                <w:rFonts w:ascii="Calibri" w:hAnsi="Calibri"/>
                <w:b/>
                <w:sz w:val="15"/>
              </w:rPr>
              <w:t xml:space="preserve">Emisión: </w:t>
            </w:r>
            <w:r>
              <w:rPr>
                <w:rFonts w:ascii="Calibri" w:hAnsi="Calibri"/>
                <w:sz w:val="15"/>
              </w:rPr>
              <w:t>Septiembre 2026</w:t>
            </w:r>
          </w:p>
        </w:tc>
        <w:tc>
          <w:tcPr>
            <w:tcW w:type="dxa" w:w="1836"/>
          </w:tcPr>
          <w:p>
            <w:r/>
            <w:r>
              <w:rPr>
                <w:rFonts w:ascii="Calibri" w:hAnsi="Calibri"/>
                <w:b/>
                <w:sz w:val="15"/>
              </w:rPr>
              <w:t xml:space="preserve">Revisión: </w:t>
            </w:r>
            <w:r>
              <w:rPr>
                <w:rFonts w:ascii="Calibri" w:hAnsi="Calibri"/>
                <w:sz w:val="15"/>
              </w:rPr>
              <w:t>Diciembre 2026</w:t>
            </w:r>
          </w:p>
        </w:tc>
      </w:tr>
      <w:tr>
        <w:tc>
          <w:tcPr>
            <w:tcW w:type="dxa" w:w="2448"/>
            <w:vMerge/>
          </w:tcPr>
          <w:p/>
        </w:tc>
        <w:tc>
          <w:tcPr>
            <w:tcW w:type="dxa" w:w="4080"/>
          </w:tcPr>
          <w:p>
            <w:pPr>
              <w:jc w:val="center"/>
            </w:pPr>
            <w:r/>
            <w:r>
              <w:rPr>
                <w:rFonts w:ascii="Calibri" w:hAnsi="Calibri"/>
                <w:b w:val="0"/>
                <w:color w:val="595959"/>
                <w:sz w:val="16"/>
              </w:rPr>
              <w:t>Procedimiento</w:t>
            </w:r>
          </w:p>
        </w:tc>
        <w:tc>
          <w:tcPr>
            <w:tcW w:type="dxa" w:w="1836"/>
          </w:tcPr>
          <w:p>
            <w:r/>
            <w:r>
              <w:rPr>
                <w:rFonts w:ascii="Calibri" w:hAnsi="Calibri"/>
                <w:b/>
                <w:sz w:val="15"/>
              </w:rPr>
              <w:t xml:space="preserve">Estado: </w:t>
            </w:r>
            <w:r>
              <w:rPr>
                <w:rFonts w:ascii="Calibri" w:hAnsi="Calibri"/>
                <w:sz w:val="15"/>
              </w:rPr>
              <w:t>Borrador para validación</w:t>
            </w:r>
          </w:p>
        </w:tc>
        <w:tc>
          <w:tcPr>
            <w:tcW w:type="dxa" w:w="1836"/>
          </w:tcPr>
          <w:p>
            <w:r/>
            <w:r>
              <w:rPr>
                <w:rFonts w:ascii="Calibri" w:hAnsi="Calibri"/>
                <w:b/>
                <w:sz w:val="15"/>
              </w:rPr>
              <w:t xml:space="preserve">Página: </w:t>
            </w:r>
            <w:r>
              <w:rPr>
                <w:rFonts w:ascii="Calibri" w:hAnsi="Calibri"/>
                <w:sz w:val="15"/>
              </w:rPr>
              <w:fldChar w:fldCharType="begin"/>
            </w:r>
            <w:r>
              <w:rPr>
                <w:rFonts w:ascii="Calibri" w:hAnsi="Calibri"/>
                <w:sz w:val="15"/>
              </w:rPr>
              <w:instrText xml:space="preserve"> PAGE </w:instrText>
            </w:r>
            <w:r>
              <w:fldChar w:fldCharType="separate"/>
            </w:r>
            <w:r>
              <w:rPr>
                <w:rFonts w:ascii="Calibri" w:hAnsi="Calibri"/>
                <w:sz w:val="15"/>
              </w:rPr>
              <w:t>1</w:t>
            </w:r>
            <w:r>
              <w:fldChar w:fldCharType="end"/>
            </w:r>
            <w:r>
              <w:rPr>
                <w:rFonts w:ascii="Calibri" w:hAnsi="Calibri"/>
                <w:sz w:val="15"/>
              </w:rPr>
              <w:t xml:space="preserve"> de </w:t>
            </w:r>
            <w:r>
              <w:rPr>
                <w:rFonts w:ascii="Calibri" w:hAnsi="Calibri"/>
                <w:sz w:val="15"/>
              </w:rPr>
              <w:fldChar w:fldCharType="begin"/>
            </w:r>
            <w:r>
              <w:rPr>
                <w:rFonts w:ascii="Calibri" w:hAnsi="Calibri"/>
                <w:sz w:val="15"/>
              </w:rPr>
              <w:instrText xml:space="preserve"> NUMPAGES </w:instrText>
            </w:r>
            <w:r>
              <w:fldChar w:fldCharType="separate"/>
            </w:r>
            <w:r>
              <w:rPr>
                <w:rFonts w:ascii="Calibri" w:hAnsi="Calibri"/>
                <w:sz w:val="15"/>
              </w:rPr>
              <w:t>1</w:t>
            </w:r>
            <w:r>
              <w:fldChar w:fldCharType="end"/>
            </w:r>
          </w:p>
        </w:tc>
      </w:tr>
      <w:tr>
        <w:tc>
          <w:tcPr>
            <w:tcW w:type="dxa" w:w="2448"/>
            <w:vMerge/>
          </w:tcPr>
          <w:p/>
        </w:tc>
        <w:tc>
          <w:tcPr>
            <w:tcW w:type="dxa" w:w="4080"/>
          </w:tcPr>
          <w:p>
            <w:pPr>
              <w:jc w:val="center"/>
            </w:pPr>
            <w:r/>
            <w:r>
              <w:rPr>
                <w:rFonts w:ascii="Calibri" w:hAnsi="Calibri"/>
                <w:b w:val="0"/>
                <w:color w:val="595959"/>
                <w:sz w:val="16"/>
              </w:rPr>
              <w:t>Cláusula ISO 9001: 8.1, 8.2.1</w:t>
            </w:r>
          </w:p>
        </w:tc>
        <w:tc>
          <w:tcPr>
            <w:tcW w:type="dxa" w:w="1836"/>
          </w:tcPr>
          <w:p>
            <w:r/>
            <w:r>
              <w:rPr>
                <w:rFonts w:ascii="Calibri" w:hAnsi="Calibri"/>
                <w:b/>
                <w:sz w:val="15"/>
              </w:rPr>
              <w:t xml:space="preserve">Propietario: </w:t>
            </w:r>
            <w:r>
              <w:rPr>
                <w:rFonts w:ascii="Calibri" w:hAnsi="Calibri"/>
                <w:sz w:val="15"/>
              </w:rPr>
              <w:t>Operaciones / Coordinación de Instalaciones</w:t>
            </w:r>
          </w:p>
        </w:tc>
        <w:tc>
          <w:tcPr>
            <w:tcW w:type="dxa" w:w="1836"/>
          </w:tcPr>
          <w:p>
            <w:r/>
            <w:r>
              <w:rPr>
                <w:rFonts w:ascii="Calibri" w:hAnsi="Calibri"/>
                <w:b/>
                <w:sz w:val="15"/>
              </w:rPr>
              <w:t xml:space="preserve">Elaboró: </w:t>
            </w:r>
            <w:r>
              <w:rPr>
                <w:rFonts w:ascii="Calibri" w:hAnsi="Calibri"/>
                <w:sz w:val="15"/>
              </w:rPr>
              <w:t>DETA Consultores</w:t>
            </w:r>
          </w:p>
        </w:tc>
      </w:tr>
    </w:tbl>
    <w:p>
      <w:pPr>
        <w:spacing w:before="40" w:after="16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Importante: Este procedimiento cubre exclusivamente la planeación y publicación del programa semanal de instalaciones. No surte material ni verifica existencias, actividades que son de Almacén conforme a PRO-ALM-03, y no registra movimientos en Bind, registro que corresponde a Compras. No libera cobranza ni valida pagos, responsabilidad de Comercial y Administración conforme a PRO-VEN-05. No ejecuta el diseño ni el render, insumos que provee Ingeniería conforme a PRO-ING-03. La programación toma esos insumos ya listos y los convierte en un calendario confirmado con el cliente y comunicado a Almacén con la anticipación mínima requerida.</w:t>
            </w:r>
          </w:p>
        </w:tc>
      </w:tr>
    </w:tbl>
    <w:p>
      <w:pPr>
        <w:spacing w:after="40"/>
      </w:pPr>
    </w:p>
    <w:p>
      <w:pPr>
        <w:keepNext/>
        <w:spacing w:before="240" w:after="80"/>
        <w:pBdr>
          <w:bottom w:val="single" w:sz="8" w:color="F0E528"/>
        </w:pBdr>
      </w:pPr>
      <w:r>
        <w:rPr>
          <w:rFonts w:ascii="Georgia" w:hAnsi="Georgia"/>
          <w:b/>
          <w:color w:val="0056B4"/>
          <w:sz w:val="22"/>
        </w:rPr>
        <w:t>1. OBJETIVO</w:t>
      </w:r>
    </w:p>
    <w:p>
      <w:pPr>
        <w:spacing w:after="120"/>
      </w:pPr>
      <w:r>
        <w:rPr>
          <w:rFonts w:ascii="Calibri" w:hAnsi="Calibri"/>
          <w:color w:val="1C242E"/>
          <w:sz w:val="21"/>
        </w:rPr>
        <w:t>Establecer la forma en que Operaciones arma, confirma y publica el programa semanal de instalaciones a partir de clientes con anticipo confirmado y listos para recibir el sistema, con el fin de eliminar los vuelos en falso y las reprogramaciones por falta de aviso al cliente. El procedimiento garantiza que cada instalación programada tenga anticipo verificado, fecha y hora acordadas con el cliente, y que Almacén reciba el programa con la anticipación mínima para preparar el material sin improvisaciones.</w:t>
      </w:r>
    </w:p>
    <w:p>
      <w:pPr>
        <w:keepNext/>
        <w:spacing w:before="240" w:after="80"/>
        <w:pBdr>
          <w:bottom w:val="single" w:sz="8" w:color="F0E528"/>
        </w:pBdr>
      </w:pPr>
      <w:r>
        <w:rPr>
          <w:rFonts w:ascii="Georgia" w:hAnsi="Georgia"/>
          <w:b/>
          <w:color w:val="0056B4"/>
          <w:sz w:val="22"/>
        </w:rPr>
        <w:t>2. ALCANCE</w:t>
      </w:r>
    </w:p>
    <w:p>
      <w:pPr>
        <w:spacing w:after="120"/>
      </w:pPr>
      <w:r>
        <w:rPr>
          <w:rFonts w:ascii="Calibri" w:hAnsi="Calibri"/>
          <w:color w:val="1C242E"/>
          <w:sz w:val="21"/>
        </w:rPr>
        <w:t>Aplica desde la solicitud del jueves que Coordinación de Instalaciones envía a cada vendedor para reunir la lista de clientes listos y con anticipo, hasta la publicación del programa semanal y su entrega a Almacén como disparador de preparación de material. Incluye la validación del anticipo, la priorización de clientes, la confirmación de fecha y hora con el cliente y la comunicación a Almacén con la ventana mínima de aviso. Excluye la verificación de existencias, el surtido y el despacho de material, que son de Almacén conforme a PRO-ALM-03; excluye el registro de movimientos en Bind, que corresponde a Compras; excluye el diseño y el render, que son de Ingeniería conforme a PRO-ING-03; y excluye la liberación de cobranza, que es de Comercial y Administración conforme a PRO-VEN-05.</w:t>
      </w:r>
    </w:p>
    <w:p>
      <w:pPr>
        <w:keepNext/>
        <w:spacing w:before="240" w:after="80"/>
        <w:pBdr>
          <w:bottom w:val="single" w:sz="8" w:color="F0E528"/>
        </w:pBdr>
      </w:pPr>
      <w:r>
        <w:rPr>
          <w:rFonts w:ascii="Georgia" w:hAnsi="Georgia"/>
          <w:b/>
          <w:color w:val="0056B4"/>
          <w:sz w:val="22"/>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Término</w:t>
            </w:r>
          </w:p>
        </w:tc>
        <w:tc>
          <w:tcPr>
            <w:tcW w:type="dxa" w:w="7344"/>
            <w:shd w:val="clear" w:fill="0056B4"/>
          </w:tcPr>
          <w:p>
            <w:pPr>
              <w:jc w:val="center"/>
            </w:pPr>
            <w:r/>
            <w:r>
              <w:rPr>
                <w:rFonts w:ascii="Calibri" w:hAnsi="Calibri"/>
                <w:b/>
                <w:color w:val="FFFFFF"/>
                <w:sz w:val="17"/>
              </w:rPr>
              <w:t>Definición</w:t>
            </w:r>
          </w:p>
        </w:tc>
      </w:tr>
      <w:tr>
        <w:tc>
          <w:tcPr>
            <w:tcW w:type="dxa" w:w="2856"/>
          </w:tcPr>
          <w:p>
            <w:r/>
            <w:r>
              <w:rPr>
                <w:rFonts w:ascii="Calibri" w:hAnsi="Calibri"/>
                <w:b w:val="0"/>
                <w:sz w:val="19"/>
              </w:rPr>
              <w:t>Anticipo confirmado</w:t>
            </w:r>
          </w:p>
        </w:tc>
        <w:tc>
          <w:tcPr>
            <w:tcW w:type="dxa" w:w="7344"/>
          </w:tcPr>
          <w:p>
            <w:r/>
            <w:r>
              <w:rPr>
                <w:rFonts w:ascii="Calibri" w:hAnsi="Calibri"/>
                <w:b w:val="0"/>
                <w:sz w:val="19"/>
              </w:rPr>
              <w:t>Pago inicial del cliente verificado por Comercial o Administración como recibido. Es la condición de entrada obligatoria para incluir un cliente en el programa semanal. Sin anticipo confirmado el cliente no se programa.</w:t>
            </w:r>
          </w:p>
        </w:tc>
      </w:tr>
      <w:tr>
        <w:tc>
          <w:tcPr>
            <w:tcW w:type="dxa" w:w="2856"/>
          </w:tcPr>
          <w:p>
            <w:r/>
            <w:r>
              <w:rPr>
                <w:rFonts w:ascii="Calibri" w:hAnsi="Calibri"/>
                <w:b w:val="0"/>
                <w:sz w:val="19"/>
              </w:rPr>
              <w:t>Cliente listo</w:t>
            </w:r>
          </w:p>
        </w:tc>
        <w:tc>
          <w:tcPr>
            <w:tcW w:type="dxa" w:w="7344"/>
          </w:tcPr>
          <w:p>
            <w:r/>
            <w:r>
              <w:rPr>
                <w:rFonts w:ascii="Calibri" w:hAnsi="Calibri"/>
                <w:b w:val="0"/>
                <w:sz w:val="19"/>
              </w:rPr>
              <w:t>Cliente cuyo sitio y condiciones están completos para recibir la instalación, sin pendientes que provoquen cambio de fecha, por ejemplo alimentación de 220 volts disponible u otros requisitos de sitio ya resueltos por el vendedor.</w:t>
            </w:r>
          </w:p>
        </w:tc>
      </w:tr>
      <w:tr>
        <w:tc>
          <w:tcPr>
            <w:tcW w:type="dxa" w:w="2856"/>
          </w:tcPr>
          <w:p>
            <w:r/>
            <w:r>
              <w:rPr>
                <w:rFonts w:ascii="Calibri" w:hAnsi="Calibri"/>
                <w:b w:val="0"/>
                <w:sz w:val="19"/>
              </w:rPr>
              <w:t>Programa semanal de instalaciones</w:t>
            </w:r>
          </w:p>
        </w:tc>
        <w:tc>
          <w:tcPr>
            <w:tcW w:type="dxa" w:w="7344"/>
          </w:tcPr>
          <w:p>
            <w:r/>
            <w:r>
              <w:rPr>
                <w:rFonts w:ascii="Calibri" w:hAnsi="Calibri"/>
                <w:b w:val="0"/>
                <w:sz w:val="19"/>
              </w:rPr>
              <w:t>Documento que concentra las instalaciones planeadas de la semana ordenadas por cliente y por vendedor, con fecha, hora confirmada, ubicación y clasificación local o foránea. Se registra en el formato FOR-OPE-01.</w:t>
            </w:r>
          </w:p>
        </w:tc>
      </w:tr>
      <w:tr>
        <w:tc>
          <w:tcPr>
            <w:tcW w:type="dxa" w:w="2856"/>
          </w:tcPr>
          <w:p>
            <w:r/>
            <w:r>
              <w:rPr>
                <w:rFonts w:ascii="Calibri" w:hAnsi="Calibri"/>
                <w:b w:val="0"/>
                <w:sz w:val="19"/>
              </w:rPr>
              <w:t>Vuelo en falso</w:t>
            </w:r>
          </w:p>
        </w:tc>
        <w:tc>
          <w:tcPr>
            <w:tcW w:type="dxa" w:w="7344"/>
          </w:tcPr>
          <w:p>
            <w:r/>
            <w:r>
              <w:rPr>
                <w:rFonts w:ascii="Calibri" w:hAnsi="Calibri"/>
                <w:b w:val="0"/>
                <w:sz w:val="19"/>
              </w:rPr>
              <w:t>Traslado de la cuadrilla a un domicilio donde la instalación no puede realizarse, generalmente por falta de comunicación entre vendedor y cliente sobre la fecha y hora. Este procedimiento busca eliminarlos mediante la confirmación previa con el cliente.</w:t>
            </w:r>
          </w:p>
        </w:tc>
      </w:tr>
      <w:tr>
        <w:tc>
          <w:tcPr>
            <w:tcW w:type="dxa" w:w="2856"/>
          </w:tcPr>
          <w:p>
            <w:r/>
            <w:r>
              <w:rPr>
                <w:rFonts w:ascii="Calibri" w:hAnsi="Calibri"/>
                <w:b w:val="0"/>
                <w:sz w:val="19"/>
              </w:rPr>
              <w:t>Prioridad por antigüedad</w:t>
            </w:r>
          </w:p>
        </w:tc>
        <w:tc>
          <w:tcPr>
            <w:tcW w:type="dxa" w:w="7344"/>
          </w:tcPr>
          <w:p>
            <w:r/>
            <w:r>
              <w:rPr>
                <w:rFonts w:ascii="Calibri" w:hAnsi="Calibri"/>
                <w:b w:val="0"/>
                <w:sz w:val="19"/>
              </w:rPr>
              <w:t>Criterio de ordenamiento que coloca primero las instalaciones más atrasadas respecto de la fecha en que quedaron listas y con anticipo, para evitar acumulación de clientes en espera.</w:t>
            </w:r>
          </w:p>
        </w:tc>
      </w:tr>
      <w:tr>
        <w:tc>
          <w:tcPr>
            <w:tcW w:type="dxa" w:w="2856"/>
          </w:tcPr>
          <w:p>
            <w:r/>
            <w:r>
              <w:rPr>
                <w:rFonts w:ascii="Calibri" w:hAnsi="Calibri"/>
                <w:b w:val="0"/>
                <w:sz w:val="19"/>
              </w:rPr>
              <w:t>Reparto por vendedor</w:t>
            </w:r>
          </w:p>
        </w:tc>
        <w:tc>
          <w:tcPr>
            <w:tcW w:type="dxa" w:w="7344"/>
          </w:tcPr>
          <w:p>
            <w:r/>
            <w:r>
              <w:rPr>
                <w:rFonts w:ascii="Calibri" w:hAnsi="Calibri"/>
                <w:b w:val="0"/>
                <w:sz w:val="19"/>
              </w:rPr>
              <w:t>Criterio complementario de priorización que asigna al menos una instalación por vendedor en el programa, para equilibrar la carga y mantener avance en todas las carteras.</w:t>
            </w:r>
          </w:p>
        </w:tc>
      </w:tr>
      <w:tr>
        <w:tc>
          <w:tcPr>
            <w:tcW w:type="dxa" w:w="2856"/>
          </w:tcPr>
          <w:p>
            <w:r/>
            <w:r>
              <w:rPr>
                <w:rFonts w:ascii="Calibri" w:hAnsi="Calibri"/>
                <w:b w:val="0"/>
                <w:sz w:val="19"/>
              </w:rPr>
              <w:t>Ventana de aviso a Almacén</w:t>
            </w:r>
          </w:p>
        </w:tc>
        <w:tc>
          <w:tcPr>
            <w:tcW w:type="dxa" w:w="7344"/>
          </w:tcPr>
          <w:p>
            <w:r/>
            <w:r>
              <w:rPr>
                <w:rFonts w:ascii="Calibri" w:hAnsi="Calibri"/>
                <w:b w:val="0"/>
                <w:sz w:val="19"/>
              </w:rPr>
              <w:t>Anticipación mínima con la que Almacén debe recibir el programa para preparar material: al menos un día hábil para instalaciones locales y dos días hábiles para instalaciones foráneas.</w:t>
            </w:r>
          </w:p>
        </w:tc>
      </w:tr>
      <w:tr>
        <w:tc>
          <w:tcPr>
            <w:tcW w:type="dxa" w:w="2856"/>
          </w:tcPr>
          <w:p>
            <w:r/>
            <w:r>
              <w:rPr>
                <w:rFonts w:ascii="Calibri" w:hAnsi="Calibri"/>
                <w:b w:val="0"/>
                <w:sz w:val="19"/>
              </w:rPr>
              <w:t>Render</w:t>
            </w:r>
          </w:p>
        </w:tc>
        <w:tc>
          <w:tcPr>
            <w:tcW w:type="dxa" w:w="7344"/>
          </w:tcPr>
          <w:p>
            <w:r/>
            <w:r>
              <w:rPr>
                <w:rFonts w:ascii="Calibri" w:hAnsi="Calibri"/>
                <w:b w:val="0"/>
                <w:sz w:val="19"/>
              </w:rPr>
              <w:t>Documento de diseño de Ingeniería del que se toma el detalle técnico del sistema de cada cliente. Sirve de base para que el vendedor u Operaciones prepare el requerimiento de material que se coordina con Almacén.</w:t>
            </w:r>
          </w:p>
        </w:tc>
      </w:tr>
      <w:tr>
        <w:tc>
          <w:tcPr>
            <w:tcW w:type="dxa" w:w="2856"/>
          </w:tcPr>
          <w:p>
            <w:r/>
            <w:r>
              <w:rPr>
                <w:rFonts w:ascii="Calibri" w:hAnsi="Calibri"/>
                <w:b w:val="0"/>
                <w:sz w:val="19"/>
              </w:rPr>
              <w:t>FOR-OPE-01</w:t>
            </w:r>
          </w:p>
        </w:tc>
        <w:tc>
          <w:tcPr>
            <w:tcW w:type="dxa" w:w="7344"/>
          </w:tcPr>
          <w:p>
            <w:r/>
            <w:r>
              <w:rPr>
                <w:rFonts w:ascii="Calibri" w:hAnsi="Calibri"/>
                <w:b w:val="0"/>
                <w:sz w:val="19"/>
              </w:rPr>
              <w:t>Formato Programa Semanal de Instalaciones, registro controlado donde se documenta la semana programada con cliente, vendedor, fecha, hora confirmada, ubicación y clasificación local o foránea.</w:t>
            </w:r>
          </w:p>
        </w:tc>
      </w:tr>
    </w:tbl>
    <w:p>
      <w:pPr>
        <w:keepNext/>
        <w:spacing w:before="240" w:after="80"/>
        <w:pBdr>
          <w:bottom w:val="single" w:sz="8" w:color="F0E528"/>
        </w:pBdr>
      </w:pPr>
      <w:r>
        <w:rPr>
          <w:rFonts w:ascii="Georgia" w:hAnsi="Georgia"/>
          <w:b/>
          <w:color w:val="0056B4"/>
          <w:sz w:val="22"/>
        </w:rPr>
        <w:t>4. DOCUMENTOS DE REFERENCIA</w:t>
      </w:r>
    </w:p>
    <w:p>
      <w:pPr>
        <w:pStyle w:val="ListBullet"/>
      </w:pPr>
      <w:r>
        <w:rPr>
          <w:rFonts w:ascii="Calibri" w:hAnsi="Calibri"/>
          <w:sz w:val="20"/>
        </w:rPr>
        <w:t>ISO 9001:2015 cláusula 8.1Planificación y control operacional</w:t>
      </w:r>
    </w:p>
    <w:p>
      <w:pPr>
        <w:pStyle w:val="ListBullet"/>
      </w:pPr>
      <w:r>
        <w:rPr>
          <w:rFonts w:ascii="Calibri" w:hAnsi="Calibri"/>
          <w:sz w:val="20"/>
        </w:rPr>
        <w:t>ISO 9001:2015 cláusula 8.2.1Comunicación con el cliente</w:t>
      </w:r>
    </w:p>
    <w:p>
      <w:pPr>
        <w:pStyle w:val="ListBullet"/>
      </w:pPr>
      <w:r>
        <w:rPr>
          <w:rFonts w:ascii="Calibri" w:hAnsi="Calibri"/>
          <w:sz w:val="20"/>
        </w:rPr>
        <w:t>PRO-VEN-05Cobranza y liberación de instalación, responsabilidad de Comercial y Administración</w:t>
      </w:r>
    </w:p>
    <w:p>
      <w:pPr>
        <w:pStyle w:val="ListBullet"/>
      </w:pPr>
      <w:r>
        <w:rPr>
          <w:rFonts w:ascii="Calibri" w:hAnsi="Calibri"/>
          <w:sz w:val="20"/>
        </w:rPr>
        <w:t>PRO-ALM-03Surtido y despacho de material en Almacén, disparado por la publicación del programa</w:t>
      </w:r>
    </w:p>
    <w:p>
      <w:pPr>
        <w:pStyle w:val="ListBullet"/>
      </w:pPr>
      <w:r>
        <w:rPr>
          <w:rFonts w:ascii="Calibri" w:hAnsi="Calibri"/>
          <w:sz w:val="20"/>
        </w:rPr>
        <w:t>PRO-ING-03Diseño y render del sistema, insumo técnico para el requerimiento de material</w:t>
      </w:r>
    </w:p>
    <w:p>
      <w:pPr>
        <w:pStyle w:val="ListBullet"/>
      </w:pPr>
      <w:r>
        <w:rPr>
          <w:rFonts w:ascii="Calibri" w:hAnsi="Calibri"/>
          <w:sz w:val="20"/>
        </w:rPr>
        <w:t>FOR-OPE-01Programa Semanal de Instalaciones</w:t>
      </w:r>
    </w:p>
    <w:p>
      <w:pPr>
        <w:pStyle w:val="ListBullet"/>
      </w:pPr>
      <w:r>
        <w:rPr>
          <w:rFonts w:ascii="Calibri" w:hAnsi="Calibri"/>
          <w:sz w:val="20"/>
        </w:rPr>
        <w:t>SOL-PROC-001Control de documentos y registros del Sistema de Gestión de Calidad</w:t>
      </w:r>
    </w:p>
    <w:p>
      <w:pPr>
        <w:keepNext/>
        <w:spacing w:before="240" w:after="80"/>
        <w:pBdr>
          <w:bottom w:val="single" w:sz="8" w:color="F0E528"/>
        </w:pBdr>
      </w:pPr>
      <w:r>
        <w:rPr>
          <w:rFonts w:ascii="Georgia" w:hAnsi="Georgia"/>
          <w:b/>
          <w:color w:val="0056B4"/>
          <w:sz w:val="22"/>
        </w:rPr>
        <w:t>5.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3060"/>
            <w:shd w:val="clear" w:fill="0056B4"/>
          </w:tcPr>
          <w:p>
            <w:pPr>
              <w:jc w:val="center"/>
            </w:pPr>
            <w:r/>
            <w:r>
              <w:rPr>
                <w:rFonts w:ascii="Calibri" w:hAnsi="Calibri"/>
                <w:b/>
                <w:color w:val="FFFFFF"/>
                <w:sz w:val="17"/>
              </w:rPr>
              <w:t>Responsable</w:t>
            </w:r>
          </w:p>
        </w:tc>
        <w:tc>
          <w:tcPr>
            <w:tcW w:type="dxa" w:w="7140"/>
            <w:shd w:val="clear" w:fill="0056B4"/>
          </w:tcPr>
          <w:p>
            <w:pPr>
              <w:jc w:val="center"/>
            </w:pPr>
            <w:r/>
            <w:r>
              <w:rPr>
                <w:rFonts w:ascii="Calibri" w:hAnsi="Calibri"/>
                <w:b/>
                <w:color w:val="FFFFFF"/>
                <w:sz w:val="17"/>
              </w:rPr>
              <w:t>Funciones</w:t>
            </w:r>
          </w:p>
        </w:tc>
      </w:tr>
      <w:tr>
        <w:tc>
          <w:tcPr>
            <w:tcW w:type="dxa" w:w="3060"/>
          </w:tcPr>
          <w:p>
            <w:r/>
            <w:r>
              <w:rPr>
                <w:rFonts w:ascii="Calibri" w:hAnsi="Calibri"/>
                <w:b w:val="0"/>
                <w:sz w:val="19"/>
              </w:rPr>
              <w:t>Coordinación de Instalaciones / Operaciones</w:t>
            </w:r>
          </w:p>
        </w:tc>
        <w:tc>
          <w:tcPr>
            <w:tcW w:type="dxa" w:w="7140"/>
          </w:tcPr>
          <w:p>
            <w:r/>
            <w:r>
              <w:rPr>
                <w:rFonts w:ascii="Calibri" w:hAnsi="Calibri"/>
                <w:b w:val="0"/>
                <w:sz w:val="19"/>
              </w:rPr>
              <w:t>Enviar cada jueves la solicitud de clientes listos y con anticipo a cada vendedor  ·  Validar con Comercial o Administración que cada cliente propuesto tiene anticipo confirmado  ·  Aplicar la priorización por antigüedad y el reparto por vendedor al armar el programa  ·  Publicar el programa semanal en FOR-OPE-01 y entregarlo a Almacén dentro de la ventana de aviso mínima  ·  Dar seguimiento a reprogramaciones y registrar sus causas</w:t>
            </w:r>
          </w:p>
        </w:tc>
      </w:tr>
      <w:tr>
        <w:tc>
          <w:tcPr>
            <w:tcW w:type="dxa" w:w="3060"/>
          </w:tcPr>
          <w:p>
            <w:r/>
            <w:r>
              <w:rPr>
                <w:rFonts w:ascii="Calibri" w:hAnsi="Calibri"/>
                <w:b w:val="0"/>
                <w:sz w:val="19"/>
              </w:rPr>
              <w:t>Vendedor</w:t>
            </w:r>
          </w:p>
        </w:tc>
        <w:tc>
          <w:tcPr>
            <w:tcW w:type="dxa" w:w="7140"/>
          </w:tcPr>
          <w:p>
            <w:r/>
            <w:r>
              <w:rPr>
                <w:rFonts w:ascii="Calibri" w:hAnsi="Calibri"/>
                <w:b w:val="0"/>
                <w:sz w:val="19"/>
              </w:rPr>
              <w:t>Entregar cada jueves la lista de sus clientes listos y con anticipo  ·  Verificar que el sitio del cliente está completo antes de proponerlo, por ejemplo alimentación de 220 volts  ·  Confirmar con cada cliente la fecha y hora exactas de la instalación antes de la publicación  ·  Avisar de inmediato a Coordinación cualquier cambio que afecte una instalación ya programada</w:t>
            </w:r>
          </w:p>
        </w:tc>
      </w:tr>
      <w:tr>
        <w:tc>
          <w:tcPr>
            <w:tcW w:type="dxa" w:w="3060"/>
          </w:tcPr>
          <w:p>
            <w:r/>
            <w:r>
              <w:rPr>
                <w:rFonts w:ascii="Calibri" w:hAnsi="Calibri"/>
                <w:b w:val="0"/>
                <w:sz w:val="19"/>
              </w:rPr>
              <w:t>Comercial / Administración</w:t>
            </w:r>
          </w:p>
        </w:tc>
        <w:tc>
          <w:tcPr>
            <w:tcW w:type="dxa" w:w="7140"/>
          </w:tcPr>
          <w:p>
            <w:r/>
            <w:r>
              <w:rPr>
                <w:rFonts w:ascii="Calibri" w:hAnsi="Calibri"/>
                <w:b w:val="0"/>
                <w:sz w:val="19"/>
              </w:rPr>
              <w:t>Confirmar a Operaciones el estado de anticipo de cada cliente propuesto  ·  Mantener actualizado el dato de anticipo confirmado que consume la programación conforme a PRO-VEN-05</w:t>
            </w:r>
          </w:p>
        </w:tc>
      </w:tr>
      <w:tr>
        <w:tc>
          <w:tcPr>
            <w:tcW w:type="dxa" w:w="3060"/>
          </w:tcPr>
          <w:p>
            <w:r/>
            <w:r>
              <w:rPr>
                <w:rFonts w:ascii="Calibri" w:hAnsi="Calibri"/>
                <w:b w:val="0"/>
                <w:sz w:val="19"/>
              </w:rPr>
              <w:t>Almacén</w:t>
            </w:r>
          </w:p>
        </w:tc>
        <w:tc>
          <w:tcPr>
            <w:tcW w:type="dxa" w:w="7140"/>
          </w:tcPr>
          <w:p>
            <w:r/>
            <w:r>
              <w:rPr>
                <w:rFonts w:ascii="Calibri" w:hAnsi="Calibri"/>
                <w:b w:val="0"/>
                <w:sz w:val="19"/>
              </w:rPr>
              <w:t>Recibir el programa semanal publicado como disparador de preparación de material conforme a PRO-ALM-03  ·  Verificar disponibilidad y solicitar material a partir del programa dentro de la ventana de aviso recibida</w:t>
            </w:r>
          </w:p>
        </w:tc>
      </w:tr>
      <w:tr>
        <w:tc>
          <w:tcPr>
            <w:tcW w:type="dxa" w:w="3060"/>
          </w:tcPr>
          <w:p>
            <w:r/>
            <w:r>
              <w:rPr>
                <w:rFonts w:ascii="Calibri" w:hAnsi="Calibri"/>
                <w:b w:val="0"/>
                <w:sz w:val="19"/>
              </w:rPr>
              <w:t>Ingeniería</w:t>
            </w:r>
          </w:p>
        </w:tc>
        <w:tc>
          <w:tcPr>
            <w:tcW w:type="dxa" w:w="7140"/>
          </w:tcPr>
          <w:p>
            <w:r/>
            <w:r>
              <w:rPr>
                <w:rFonts w:ascii="Calibri" w:hAnsi="Calibri"/>
                <w:b w:val="0"/>
                <w:sz w:val="19"/>
              </w:rPr>
              <w:t>Proveer el render y el diseño de cada cliente como insumo técnico para el requerimiento de material conforme a PRO-ING-03</w:t>
            </w:r>
          </w:p>
        </w:tc>
      </w:tr>
    </w:tbl>
    <w:p>
      <w:pPr>
        <w:keepNext/>
        <w:spacing w:before="240" w:after="80"/>
        <w:pBdr>
          <w:bottom w:val="single" w:sz="8" w:color="F0E528"/>
        </w:pBdr>
      </w:pPr>
      <w:r>
        <w:rPr>
          <w:rFonts w:ascii="Georgia" w:hAnsi="Georgia"/>
          <w:b/>
          <w:color w:val="0056B4"/>
          <w:sz w:val="22"/>
        </w:rPr>
        <w:t>6. POLÍTICAS Y LINEAMIENTOS</w:t>
      </w:r>
    </w:p>
    <w:p>
      <w:pPr>
        <w:spacing w:after="100"/>
      </w:pPr>
      <w:r>
        <w:rPr>
          <w:b/>
          <w:color w:val="0056B4"/>
          <w:sz w:val="20"/>
        </w:rPr>
        <w:t xml:space="preserve">Candado de anticipo confirmado. </w:t>
      </w:r>
      <w:r>
        <w:rPr>
          <w:rFonts w:ascii="Calibri" w:hAnsi="Calibri"/>
          <w:sz w:val="20"/>
        </w:rPr>
        <w:t>Ningún cliente entra al programa semanal sin anticipo confirmado por Comercial o Administración. Hoy en la práctica a veces se programa sin anticipo confirmado, lo que expone a la empresa a movilizar cuadrilla y material sin respaldo de pago. La regla dura es que la falta de anticipo verificado excluye al cliente del programa hasta que quede confirmado.</w:t>
      </w:r>
    </w:p>
    <w:p>
      <w:pPr>
        <w:spacing w:after="100"/>
      </w:pPr>
      <w:r>
        <w:rPr>
          <w:b/>
          <w:color w:val="0056B4"/>
          <w:sz w:val="20"/>
        </w:rPr>
        <w:t xml:space="preserve">Solicitud fija de los jueves. </w:t>
      </w:r>
      <w:r>
        <w:rPr>
          <w:rFonts w:ascii="Calibri" w:hAnsi="Calibri"/>
          <w:sz w:val="20"/>
        </w:rPr>
        <w:t>Cada jueves Coordinación de Instalaciones solicita a cada vendedor la lista de sus clientes listos y con anticipo para la semana siguiente. Fijar el día evita que la programación dependa de recordatorios sueltos y da al vendedor un punto de corte claro para resolver pendientes de sitio antes de comprometer una fecha.</w:t>
      </w:r>
    </w:p>
    <w:p>
      <w:pPr>
        <w:spacing w:after="100"/>
      </w:pPr>
      <w:r>
        <w:rPr>
          <w:b/>
          <w:color w:val="0056B4"/>
          <w:sz w:val="20"/>
        </w:rPr>
        <w:t xml:space="preserve">Cliente listo antes de programar. </w:t>
      </w:r>
      <w:r>
        <w:rPr>
          <w:rFonts w:ascii="Calibri" w:hAnsi="Calibri"/>
          <w:sz w:val="20"/>
        </w:rPr>
        <w:t>Solo se programan clientes cuyo sitio está completo, por ejemplo con alimentación de 220 volts disponible y sin pendientes de obra del cliente. Programar clientes no listos es la causa principal de cambios de fecha y desperdicio de cuadrilla. El vendedor declara al cliente como listo bajo su responsabilidad.</w:t>
      </w:r>
    </w:p>
    <w:p>
      <w:pPr>
        <w:spacing w:after="100"/>
      </w:pPr>
      <w:r>
        <w:rPr>
          <w:b/>
          <w:color w:val="0056B4"/>
          <w:sz w:val="20"/>
        </w:rPr>
        <w:t xml:space="preserve">Priorización por antigüedad y reparto por vendedor. </w:t>
      </w:r>
      <w:r>
        <w:rPr>
          <w:rFonts w:ascii="Calibri" w:hAnsi="Calibri"/>
          <w:sz w:val="20"/>
        </w:rPr>
        <w:t>El programa ordena primero las instalaciones más atrasadas y asegura al menos una instalación por vendedor. Este doble criterio evita que clientes antiguos queden rezagados y que la carga se concentre en una sola cartera, manteniendo avance parejo en toda la operación.</w:t>
      </w:r>
    </w:p>
    <w:p>
      <w:pPr>
        <w:spacing w:after="100"/>
      </w:pPr>
      <w:r>
        <w:rPr>
          <w:b/>
          <w:color w:val="0056B4"/>
          <w:sz w:val="20"/>
        </w:rPr>
        <w:t xml:space="preserve">Confirmación de fecha y hora con el cliente. </w:t>
      </w:r>
      <w:r>
        <w:rPr>
          <w:rFonts w:ascii="Calibri" w:hAnsi="Calibri"/>
          <w:sz w:val="20"/>
        </w:rPr>
        <w:t>Antes de publicar el programa, el vendedor confirma con cada cliente la fecha y hora exactas de la instalación. La causa raíz de los vuelos en falso es la falta de comunicación entre vendedor y cliente. La confirmación previa es obligatoria y sin ella la instalación no se publica como firme.</w:t>
      </w:r>
    </w:p>
    <w:p>
      <w:pPr>
        <w:spacing w:after="100"/>
      </w:pPr>
      <w:r>
        <w:rPr>
          <w:b/>
          <w:color w:val="0056B4"/>
          <w:sz w:val="20"/>
        </w:rPr>
        <w:t xml:space="preserve">Ventana de aviso mínima a Almacén. </w:t>
      </w:r>
      <w:r>
        <w:rPr>
          <w:rFonts w:ascii="Calibri" w:hAnsi="Calibri"/>
          <w:sz w:val="20"/>
        </w:rPr>
        <w:t>El programa se publica y se entrega a Almacén con al menos un día hábil de anticipación para instalaciones locales y dos días hábiles para foráneas. Almacén no tiene visibilidad de la operación hasta que se publica el programa, por lo que respetar la ventana es lo que le permite preparar material sin improvisar conforme a PRO-ALM-03.</w:t>
      </w:r>
    </w:p>
    <w:p>
      <w:pPr>
        <w:spacing w:after="100"/>
      </w:pPr>
      <w:r>
        <w:rPr>
          <w:b/>
          <w:color w:val="0056B4"/>
          <w:sz w:val="20"/>
        </w:rPr>
        <w:t xml:space="preserve">Frontera con Almacén y Compras. </w:t>
      </w:r>
      <w:r>
        <w:rPr>
          <w:rFonts w:ascii="Calibri" w:hAnsi="Calibri"/>
          <w:sz w:val="20"/>
        </w:rPr>
        <w:t>La programación entrega el programa como disparador, pero no verifica existencias, no surte ni despacha, actividades que son de Almacén conforme a PRO-ALM-03, y no registra movimientos en Bind, registro que corresponde a Compras. El requerimiento de material por cliente, con marca y cantidad de paneles, inversor, estructura y material eléctrico tomado del render, se coordina con Almacén, pero la preparación física la ejecuta Almacén.</w:t>
      </w:r>
    </w:p>
    <w:p>
      <w:pPr>
        <w:spacing w:after="100"/>
      </w:pPr>
      <w:r>
        <w:rPr>
          <w:b/>
          <w:color w:val="0056B4"/>
          <w:sz w:val="20"/>
        </w:rPr>
        <w:t xml:space="preserve">Frontera con Comercial y Administración. </w:t>
      </w:r>
      <w:r>
        <w:rPr>
          <w:rFonts w:ascii="Calibri" w:hAnsi="Calibri"/>
          <w:sz w:val="20"/>
        </w:rPr>
        <w:t>La programación no maneja pagos, no valida montos ni libera cobranza. Solo consume el dato de anticipo confirmado que provee Comercial o Administración conforme a PRO-VEN-05. Cualquier duda sobre el estado de pago se resuelve con Comercial antes de programar, no dentro de este procedimiento.</w:t>
      </w:r>
    </w:p>
    <w:p>
      <w:pPr>
        <w:spacing w:after="100"/>
      </w:pPr>
      <w:r>
        <w:rPr>
          <w:b/>
          <w:color w:val="0056B4"/>
          <w:sz w:val="20"/>
        </w:rPr>
        <w:t xml:space="preserve">Frontera con la ejecución en obra. </w:t>
      </w:r>
      <w:r>
        <w:rPr>
          <w:rFonts w:ascii="Calibri" w:hAnsi="Calibri"/>
          <w:sz w:val="20"/>
        </w:rPr>
        <w:t>Este procedimiento termina al publicar el programa. La ejecución de la instalación, el uso obligatorio de equipo de protección personal y trabajo en altura, el checklist de calidad firmado y el paso de retrabajos a Postventa se rigen por sus procedimientos correspondientes y no forman parte de la programación.</w:t>
      </w:r>
    </w:p>
    <w:p>
      <w:pPr>
        <w:keepNext/>
        <w:spacing w:before="240" w:after="80"/>
        <w:pBdr>
          <w:bottom w:val="single" w:sz="8" w:color="F0E528"/>
        </w:pBdr>
      </w:pPr>
      <w:r>
        <w:rPr>
          <w:rFonts w:ascii="Georgia" w:hAnsi="Georgia"/>
          <w:b/>
          <w:color w:val="0056B4"/>
          <w:sz w:val="22"/>
        </w:rPr>
        <w:t>7. DESARROLLO DEL PROCEDIMIENTO</w:t>
      </w:r>
    </w:p>
    <w:p>
      <w:pPr>
        <w:spacing w:after="80"/>
      </w:pPr>
      <w:r>
        <w:rPr>
          <w:rFonts w:ascii="Calibri" w:hAnsi="Calibri"/>
          <w:color w:val="1C242E"/>
          <w:sz w:val="20"/>
        </w:rPr>
        <w:t>El programa semanal se construye en cinco fases que van de la solicitud de los jueves a la publicación que dispara a Almacén. El eje del procedimiento es doble: filtrar por anticipo confirmado y cliente listo en la entrada, y cerrar con la confirmación de fecha y hora con el cliente antes de publicar, que es lo que elimina los vuelos en falso.</w:t>
      </w:r>
    </w:p>
    <w:p>
      <w:pPr>
        <w:spacing w:before="160" w:after="60"/>
      </w:pPr>
      <w:r>
        <w:rPr>
          <w:b/>
          <w:color w:val="1C242E"/>
          <w:sz w:val="21"/>
        </w:rPr>
        <w:t>Solicitud de los jueves y captación de clientes</w:t>
      </w:r>
    </w:p>
    <w:p>
      <w:pPr>
        <w:spacing w:after="60"/>
        <w:ind w:left="340"/>
      </w:pPr>
      <w:r>
        <w:rPr>
          <w:b/>
          <w:sz w:val="20"/>
        </w:rPr>
        <w:t xml:space="preserve">1. Enviar solicitud a cada vendedor </w:t>
      </w:r>
      <w:r>
        <w:rPr>
          <w:rFonts w:ascii="Calibri" w:hAnsi="Calibri"/>
          <w:sz w:val="20"/>
        </w:rPr>
        <w:t>· Cada jueves Coordinación de Instalaciones solicita a cada vendedor la lista de sus clientes listos y con anticipo para la semana siguiente, indicando el corte de entrega.</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Registro: </w:t>
      </w:r>
      <w:r>
        <w:rPr>
          <w:rFonts w:ascii="Calibri" w:hAnsi="Calibri"/>
          <w:color w:val="595959"/>
          <w:sz w:val="18"/>
        </w:rPr>
        <w:t>Solicitud de los jueves y respuesta de cada vendedor</w:t>
      </w:r>
    </w:p>
    <w:p>
      <w:pPr>
        <w:spacing w:after="20"/>
        <w:ind w:left="680"/>
      </w:pPr>
      <w:r>
        <w:rPr>
          <w:b/>
          <w:color w:val="595959"/>
          <w:sz w:val="18"/>
        </w:rPr>
        <w:t xml:space="preserve">Control: </w:t>
      </w:r>
      <w:r>
        <w:rPr>
          <w:rFonts w:ascii="Calibri" w:hAnsi="Calibri"/>
          <w:color w:val="595959"/>
          <w:sz w:val="18"/>
        </w:rPr>
        <w:t>Día fijo de solicitud para no depender de recordatorios sueltos</w:t>
      </w:r>
    </w:p>
    <w:p>
      <w:pPr>
        <w:spacing w:after="60"/>
        <w:ind w:left="340"/>
      </w:pPr>
      <w:r>
        <w:rPr>
          <w:b/>
          <w:sz w:val="20"/>
        </w:rPr>
        <w:t xml:space="preserve">2. Recibir listas por vendedor </w:t>
      </w:r>
      <w:r>
        <w:rPr>
          <w:rFonts w:ascii="Calibri" w:hAnsi="Calibri"/>
          <w:sz w:val="20"/>
        </w:rPr>
        <w:t>· El vendedor entrega su lista con los clientes que declara listos, señalando para cada uno la ubicación y si es local o foráneo. Declara el sitio como completo bajo su responsabilidad, por ejemplo con alimentación de 220 volts disponible.</w:t>
      </w:r>
    </w:p>
    <w:p>
      <w:pPr>
        <w:spacing w:after="20"/>
        <w:ind w:left="680"/>
      </w:pPr>
      <w:r>
        <w:rPr>
          <w:b/>
          <w:color w:val="595959"/>
          <w:sz w:val="18"/>
        </w:rPr>
        <w:t xml:space="preserve">Responsable: </w:t>
      </w:r>
      <w:r>
        <w:rPr>
          <w:rFonts w:ascii="Calibri" w:hAnsi="Calibri"/>
          <w:color w:val="595959"/>
          <w:sz w:val="18"/>
        </w:rPr>
        <w:t>Vendedor</w:t>
      </w:r>
    </w:p>
    <w:p>
      <w:pPr>
        <w:spacing w:after="20"/>
        <w:ind w:left="680"/>
      </w:pPr>
      <w:r>
        <w:rPr>
          <w:b/>
          <w:color w:val="595959"/>
          <w:sz w:val="18"/>
        </w:rPr>
        <w:t xml:space="preserve">Registro: </w:t>
      </w:r>
      <w:r>
        <w:rPr>
          <w:rFonts w:ascii="Calibri" w:hAnsi="Calibri"/>
          <w:color w:val="595959"/>
          <w:sz w:val="18"/>
        </w:rPr>
        <w:t>Lista de clientes propuestos por vendedor</w:t>
      </w:r>
    </w:p>
    <w:p>
      <w:pPr>
        <w:spacing w:after="20"/>
        <w:ind w:left="680"/>
      </w:pPr>
      <w:r>
        <w:rPr>
          <w:b/>
          <w:color w:val="595959"/>
          <w:sz w:val="18"/>
        </w:rPr>
        <w:t xml:space="preserve">Frontera: </w:t>
      </w:r>
      <w:r>
        <w:rPr>
          <w:rFonts w:ascii="Calibri" w:hAnsi="Calibri"/>
          <w:color w:val="595959"/>
          <w:sz w:val="18"/>
        </w:rPr>
        <w:t>El vendedor confirma que el sitio está listo; Operaciones no inspecciona el sitio</w:t>
      </w:r>
    </w:p>
    <w:p>
      <w:pPr>
        <w:spacing w:before="160" w:after="60"/>
      </w:pPr>
      <w:r>
        <w:rPr>
          <w:b/>
          <w:color w:val="1C242E"/>
          <w:sz w:val="21"/>
        </w:rPr>
        <w:t>Validación del anticipo (candado de entrada)</w:t>
      </w:r>
    </w:p>
    <w:p>
      <w:pPr>
        <w:spacing w:after="60"/>
        <w:ind w:left="340"/>
      </w:pPr>
      <w:r>
        <w:rPr>
          <w:b/>
          <w:sz w:val="20"/>
        </w:rPr>
        <w:t xml:space="preserve">3. Confirmar anticipo con Comercial o Administración </w:t>
      </w:r>
      <w:r>
        <w:rPr>
          <w:rFonts w:ascii="Calibri" w:hAnsi="Calibri"/>
          <w:sz w:val="20"/>
        </w:rPr>
        <w:t>· Coordinación verifica con Comercial o Administración que cada cliente propuesto tiene anticipo confirmado. Los clientes sin anticipo verificado quedan fuera del programa hasta que se confirme.</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Registro: </w:t>
      </w:r>
      <w:r>
        <w:rPr>
          <w:rFonts w:ascii="Calibri" w:hAnsi="Calibri"/>
          <w:color w:val="595959"/>
          <w:sz w:val="18"/>
        </w:rPr>
        <w:t>Marca de anticipo confirmado por cliente en FOR-OPE-01</w:t>
      </w:r>
    </w:p>
    <w:p>
      <w:pPr>
        <w:spacing w:after="20"/>
        <w:ind w:left="680"/>
      </w:pPr>
      <w:r>
        <w:rPr>
          <w:b/>
          <w:color w:val="595959"/>
          <w:sz w:val="18"/>
        </w:rPr>
        <w:t xml:space="preserve">Frontera: </w:t>
      </w:r>
      <w:r>
        <w:rPr>
          <w:rFonts w:ascii="Calibri" w:hAnsi="Calibri"/>
          <w:color w:val="595959"/>
          <w:sz w:val="18"/>
        </w:rPr>
        <w:t>El estado de pago lo provee Comercial o Administración conforme a PRO-VEN-05; la programación no valida montos ni cobranza</w:t>
      </w:r>
    </w:p>
    <w:p>
      <w:pPr>
        <w:spacing w:after="60"/>
        <w:ind w:left="340"/>
      </w:pPr>
      <w:r>
        <w:rPr>
          <w:b/>
          <w:sz w:val="20"/>
        </w:rPr>
        <w:t xml:space="preserve">4. Excluir clientes sin anticipo </w:t>
      </w:r>
      <w:r>
        <w:rPr>
          <w:rFonts w:ascii="Calibri" w:hAnsi="Calibri"/>
          <w:sz w:val="20"/>
        </w:rPr>
        <w:t>· Los clientes propuestos sin anticipo confirmado se regresan al vendedor con la razón, para retomarlos en cuanto el anticipo quede verificado.</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Registro: </w:t>
      </w:r>
      <w:r>
        <w:rPr>
          <w:rFonts w:ascii="Calibri" w:hAnsi="Calibri"/>
          <w:color w:val="595959"/>
          <w:sz w:val="18"/>
        </w:rPr>
        <w:t>Registro de clientes excluidos y motivo</w:t>
      </w:r>
    </w:p>
    <w:p>
      <w:pPr>
        <w:spacing w:after="20"/>
        <w:ind w:left="680"/>
      </w:pPr>
      <w:r>
        <w:rPr>
          <w:b/>
          <w:color w:val="595959"/>
          <w:sz w:val="18"/>
        </w:rPr>
        <w:t xml:space="preserve">Control: </w:t>
      </w:r>
      <w:r>
        <w:rPr>
          <w:rFonts w:ascii="Calibri" w:hAnsi="Calibri"/>
          <w:color w:val="595959"/>
          <w:sz w:val="18"/>
        </w:rPr>
        <w:t>Regla dura: sin anticipo confirmado no se programa</w:t>
      </w:r>
    </w:p>
    <w:p>
      <w:pPr>
        <w:spacing w:before="160" w:after="60"/>
      </w:pPr>
      <w:r>
        <w:rPr>
          <w:b/>
          <w:color w:val="1C242E"/>
          <w:sz w:val="21"/>
        </w:rPr>
        <w:t>Priorización y armado del programa</w:t>
      </w:r>
    </w:p>
    <w:p>
      <w:pPr>
        <w:spacing w:after="60"/>
        <w:ind w:left="340"/>
      </w:pPr>
      <w:r>
        <w:rPr>
          <w:b/>
          <w:sz w:val="20"/>
        </w:rPr>
        <w:t xml:space="preserve">5. Ordenar por antigüedad </w:t>
      </w:r>
      <w:r>
        <w:rPr>
          <w:rFonts w:ascii="Calibri" w:hAnsi="Calibri"/>
          <w:sz w:val="20"/>
        </w:rPr>
        <w:t>· Con los clientes que pasaron el candado de anticipo, Coordinación ordena primero las instalaciones más atrasadas respecto de la fecha en que quedaron listas y con anticipo.</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Formato: </w:t>
      </w:r>
      <w:r>
        <w:rPr>
          <w:rFonts w:ascii="Calibri" w:hAnsi="Calibri"/>
          <w:color w:val="595959"/>
          <w:sz w:val="18"/>
        </w:rPr>
        <w:t>FOR-OPE-01 Programa Semanal de Instalaciones</w:t>
      </w:r>
    </w:p>
    <w:p>
      <w:pPr>
        <w:spacing w:after="20"/>
        <w:ind w:left="680"/>
      </w:pPr>
      <w:r>
        <w:rPr>
          <w:b/>
          <w:color w:val="595959"/>
          <w:sz w:val="18"/>
        </w:rPr>
        <w:t xml:space="preserve">Control: </w:t>
      </w:r>
      <w:r>
        <w:rPr>
          <w:rFonts w:ascii="Calibri" w:hAnsi="Calibri"/>
          <w:color w:val="595959"/>
          <w:sz w:val="18"/>
        </w:rPr>
        <w:t>Prioridad por antigüedad para evitar rezago de clientes antiguos</w:t>
      </w:r>
    </w:p>
    <w:p>
      <w:pPr>
        <w:spacing w:after="60"/>
        <w:ind w:left="340"/>
      </w:pPr>
      <w:r>
        <w:rPr>
          <w:b/>
          <w:sz w:val="20"/>
        </w:rPr>
        <w:t xml:space="preserve">6. Aplicar reparto por vendedor </w:t>
      </w:r>
      <w:r>
        <w:rPr>
          <w:rFonts w:ascii="Calibri" w:hAnsi="Calibri"/>
          <w:sz w:val="20"/>
        </w:rPr>
        <w:t>· Sobre el orden por antigüedad, se asegura al menos una instalación por vendedor para equilibrar la carga y mantener avance en todas las carteras.</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Formato: </w:t>
      </w:r>
      <w:r>
        <w:rPr>
          <w:rFonts w:ascii="Calibri" w:hAnsi="Calibri"/>
          <w:color w:val="595959"/>
          <w:sz w:val="18"/>
        </w:rPr>
        <w:t>FOR-OPE-01</w:t>
      </w:r>
    </w:p>
    <w:p>
      <w:pPr>
        <w:spacing w:after="20"/>
        <w:ind w:left="680"/>
      </w:pPr>
      <w:r>
        <w:rPr>
          <w:b/>
          <w:color w:val="595959"/>
          <w:sz w:val="18"/>
        </w:rPr>
        <w:t xml:space="preserve">Control: </w:t>
      </w:r>
      <w:r>
        <w:rPr>
          <w:rFonts w:ascii="Calibri" w:hAnsi="Calibri"/>
          <w:color w:val="595959"/>
          <w:sz w:val="18"/>
        </w:rPr>
        <w:t>Reparto por vendedor complementa la prioridad por antigüedad</w:t>
      </w:r>
    </w:p>
    <w:p>
      <w:pPr>
        <w:spacing w:after="60"/>
        <w:ind w:left="340"/>
      </w:pPr>
      <w:r>
        <w:rPr>
          <w:b/>
          <w:sz w:val="20"/>
        </w:rPr>
        <w:t xml:space="preserve">7. Integrar clasificación local o foránea </w:t>
      </w:r>
      <w:r>
        <w:rPr>
          <w:rFonts w:ascii="Calibri" w:hAnsi="Calibri"/>
          <w:sz w:val="20"/>
        </w:rPr>
        <w:t>· Cada instalación se clasifica como local o foránea, dato que define la ventana de aviso a Almacén y la logística de traslado.</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Registro: </w:t>
      </w:r>
      <w:r>
        <w:rPr>
          <w:rFonts w:ascii="Calibri" w:hAnsi="Calibri"/>
          <w:color w:val="595959"/>
          <w:sz w:val="18"/>
        </w:rPr>
        <w:t>Clasificación local o foránea por cliente en FOR-OPE-01</w:t>
      </w:r>
    </w:p>
    <w:p>
      <w:pPr>
        <w:spacing w:after="20"/>
        <w:ind w:left="680"/>
      </w:pPr>
      <w:r>
        <w:rPr>
          <w:b/>
          <w:color w:val="595959"/>
          <w:sz w:val="18"/>
        </w:rPr>
        <w:t xml:space="preserve">Interfaz: </w:t>
      </w:r>
      <w:r>
        <w:rPr>
          <w:rFonts w:ascii="Calibri" w:hAnsi="Calibri"/>
          <w:color w:val="595959"/>
          <w:sz w:val="18"/>
        </w:rPr>
        <w:t>La clasificación determina la anticipación con que Almacén recibe el programa</w:t>
      </w:r>
    </w:p>
    <w:p>
      <w:pPr>
        <w:spacing w:before="160" w:after="60"/>
      </w:pPr>
      <w:r>
        <w:rPr>
          <w:b/>
          <w:color w:val="1C242E"/>
          <w:sz w:val="21"/>
        </w:rPr>
        <w:t>Confirmación de fecha y hora con el cliente</w:t>
      </w:r>
    </w:p>
    <w:p>
      <w:pPr>
        <w:spacing w:after="60"/>
        <w:ind w:left="340"/>
      </w:pPr>
      <w:r>
        <w:rPr>
          <w:b/>
          <w:sz w:val="20"/>
        </w:rPr>
        <w:t xml:space="preserve">8. Confirmar con cada cliente </w:t>
      </w:r>
      <w:r>
        <w:rPr>
          <w:rFonts w:ascii="Calibri" w:hAnsi="Calibri"/>
          <w:sz w:val="20"/>
        </w:rPr>
        <w:t>· Antes de publicar, el vendedor confirma con cada cliente la fecha y hora exactas de su instalación. Sin confirmación la instalación no se publica como firme.</w:t>
      </w:r>
    </w:p>
    <w:p>
      <w:pPr>
        <w:spacing w:after="20"/>
        <w:ind w:left="680"/>
      </w:pPr>
      <w:r>
        <w:rPr>
          <w:b/>
          <w:color w:val="595959"/>
          <w:sz w:val="18"/>
        </w:rPr>
        <w:t xml:space="preserve">Responsable: </w:t>
      </w:r>
      <w:r>
        <w:rPr>
          <w:rFonts w:ascii="Calibri" w:hAnsi="Calibri"/>
          <w:color w:val="595959"/>
          <w:sz w:val="18"/>
        </w:rPr>
        <w:t>Vendedor</w:t>
      </w:r>
    </w:p>
    <w:p>
      <w:pPr>
        <w:spacing w:after="20"/>
        <w:ind w:left="680"/>
      </w:pPr>
      <w:r>
        <w:rPr>
          <w:b/>
          <w:color w:val="595959"/>
          <w:sz w:val="18"/>
        </w:rPr>
        <w:t xml:space="preserve">Registro: </w:t>
      </w:r>
      <w:r>
        <w:rPr>
          <w:rFonts w:ascii="Calibri" w:hAnsi="Calibri"/>
          <w:color w:val="595959"/>
          <w:sz w:val="18"/>
        </w:rPr>
        <w:t>Confirmación de fecha y hora por cliente en FOR-OPE-01</w:t>
      </w:r>
    </w:p>
    <w:p>
      <w:pPr>
        <w:spacing w:after="20"/>
        <w:ind w:left="680"/>
      </w:pPr>
      <w:r>
        <w:rPr>
          <w:b/>
          <w:color w:val="595959"/>
          <w:sz w:val="18"/>
        </w:rPr>
        <w:t xml:space="preserve">Control: </w:t>
      </w:r>
      <w:r>
        <w:rPr>
          <w:rFonts w:ascii="Calibri" w:hAnsi="Calibri"/>
          <w:color w:val="595959"/>
          <w:sz w:val="18"/>
        </w:rPr>
        <w:t>Cierra la causa raíz de los vuelos en falso, la falta de comunicación vendedor-cliente</w:t>
      </w:r>
    </w:p>
    <w:p>
      <w:pPr>
        <w:spacing w:after="60"/>
        <w:ind w:left="340"/>
      </w:pPr>
      <w:r>
        <w:rPr>
          <w:b/>
          <w:sz w:val="20"/>
        </w:rPr>
        <w:t xml:space="preserve">9. Ajustar fechas no confirmadas </w:t>
      </w:r>
      <w:r>
        <w:rPr>
          <w:rFonts w:ascii="Calibri" w:hAnsi="Calibri"/>
          <w:sz w:val="20"/>
        </w:rPr>
        <w:t>· Las instalaciones que el cliente no confirma o pide mover se ajustan o se posponen antes de publicar, para que el programa refleje solo fechas acordadas.</w:t>
      </w:r>
    </w:p>
    <w:p>
      <w:pPr>
        <w:spacing w:after="20"/>
        <w:ind w:left="680"/>
      </w:pPr>
      <w:r>
        <w:rPr>
          <w:b/>
          <w:color w:val="595959"/>
          <w:sz w:val="18"/>
        </w:rPr>
        <w:t xml:space="preserve">Responsable: </w:t>
      </w:r>
      <w:r>
        <w:rPr>
          <w:rFonts w:ascii="Calibri" w:hAnsi="Calibri"/>
          <w:color w:val="595959"/>
          <w:sz w:val="18"/>
        </w:rPr>
        <w:t>Coordinación de Instalaciones y Vendedor</w:t>
      </w:r>
    </w:p>
    <w:p>
      <w:pPr>
        <w:spacing w:after="20"/>
        <w:ind w:left="680"/>
      </w:pPr>
      <w:r>
        <w:rPr>
          <w:b/>
          <w:color w:val="595959"/>
          <w:sz w:val="18"/>
        </w:rPr>
        <w:t xml:space="preserve">Registro: </w:t>
      </w:r>
      <w:r>
        <w:rPr>
          <w:rFonts w:ascii="Calibri" w:hAnsi="Calibri"/>
          <w:color w:val="595959"/>
          <w:sz w:val="18"/>
        </w:rPr>
        <w:t>Ajustes previos a publicación en FOR-OPE-01</w:t>
      </w:r>
    </w:p>
    <w:p>
      <w:pPr>
        <w:spacing w:after="20"/>
        <w:ind w:left="680"/>
      </w:pPr>
      <w:r>
        <w:rPr>
          <w:b/>
          <w:color w:val="595959"/>
          <w:sz w:val="18"/>
        </w:rPr>
        <w:t xml:space="preserve">Control: </w:t>
      </w:r>
      <w:r>
        <w:rPr>
          <w:rFonts w:ascii="Calibri" w:hAnsi="Calibri"/>
          <w:color w:val="595959"/>
          <w:sz w:val="18"/>
        </w:rPr>
        <w:t>El programa publicado contiene únicamente instalaciones con fecha y hora acordadas</w:t>
      </w:r>
    </w:p>
    <w:p>
      <w:pPr>
        <w:spacing w:before="160" w:after="60"/>
      </w:pPr>
      <w:r>
        <w:rPr>
          <w:b/>
          <w:color w:val="1C242E"/>
          <w:sz w:val="21"/>
        </w:rPr>
        <w:t>Publicación del programa y disparo a Almacén</w:t>
      </w:r>
    </w:p>
    <w:p>
      <w:pPr>
        <w:spacing w:after="60"/>
        <w:ind w:left="340"/>
      </w:pPr>
      <w:r>
        <w:rPr>
          <w:b/>
          <w:sz w:val="20"/>
        </w:rPr>
        <w:t xml:space="preserve">10. Publicar FOR-OPE-01 </w:t>
      </w:r>
      <w:r>
        <w:rPr>
          <w:rFonts w:ascii="Calibri" w:hAnsi="Calibri"/>
          <w:sz w:val="20"/>
        </w:rPr>
        <w:t>· Coordinación publica el programa semanal en FOR-OPE-01 con cliente, vendedor, fecha, hora confirmada, ubicación y clasificación local o foránea.</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Formato: </w:t>
      </w:r>
      <w:r>
        <w:rPr>
          <w:rFonts w:ascii="Calibri" w:hAnsi="Calibri"/>
          <w:color w:val="595959"/>
          <w:sz w:val="18"/>
        </w:rPr>
        <w:t>FOR-OPE-01 Programa Semanal de Instalaciones</w:t>
      </w:r>
    </w:p>
    <w:p>
      <w:pPr>
        <w:spacing w:after="20"/>
        <w:ind w:left="680"/>
      </w:pPr>
      <w:r>
        <w:rPr>
          <w:b/>
          <w:color w:val="595959"/>
          <w:sz w:val="18"/>
        </w:rPr>
        <w:t xml:space="preserve">Control: </w:t>
      </w:r>
      <w:r>
        <w:rPr>
          <w:rFonts w:ascii="Calibri" w:hAnsi="Calibri"/>
          <w:color w:val="595959"/>
          <w:sz w:val="18"/>
        </w:rPr>
        <w:t>Documento único y controlado de la semana programada</w:t>
      </w:r>
    </w:p>
    <w:p>
      <w:pPr>
        <w:spacing w:after="60"/>
        <w:ind w:left="340"/>
      </w:pPr>
      <w:r>
        <w:rPr>
          <w:b/>
          <w:sz w:val="20"/>
        </w:rPr>
        <w:t xml:space="preserve">11. Entregar a Almacén dentro de la ventana </w:t>
      </w:r>
      <w:r>
        <w:rPr>
          <w:rFonts w:ascii="Calibri" w:hAnsi="Calibri"/>
          <w:sz w:val="20"/>
        </w:rPr>
        <w:t>· El programa se entrega a Almacén con al menos un día hábil de anticipación para instalaciones locales y dos días hábiles para foráneas, para que prepare material sin improvisar.</w:t>
      </w:r>
    </w:p>
    <w:p>
      <w:pPr>
        <w:spacing w:after="20"/>
        <w:ind w:left="680"/>
      </w:pPr>
      <w:r>
        <w:rPr>
          <w:b/>
          <w:color w:val="595959"/>
          <w:sz w:val="18"/>
        </w:rPr>
        <w:t xml:space="preserve">Responsable: </w:t>
      </w:r>
      <w:r>
        <w:rPr>
          <w:rFonts w:ascii="Calibri" w:hAnsi="Calibri"/>
          <w:color w:val="595959"/>
          <w:sz w:val="18"/>
        </w:rPr>
        <w:t>Coordinación de Instalaciones</w:t>
      </w:r>
    </w:p>
    <w:p>
      <w:pPr>
        <w:spacing w:after="20"/>
        <w:ind w:left="680"/>
      </w:pPr>
      <w:r>
        <w:rPr>
          <w:b/>
          <w:color w:val="595959"/>
          <w:sz w:val="18"/>
        </w:rPr>
        <w:t xml:space="preserve">Registro: </w:t>
      </w:r>
      <w:r>
        <w:rPr>
          <w:rFonts w:ascii="Calibri" w:hAnsi="Calibri"/>
          <w:color w:val="595959"/>
          <w:sz w:val="18"/>
        </w:rPr>
        <w:t>Entrega del programa a Almacén con fecha y hora</w:t>
      </w:r>
    </w:p>
    <w:p>
      <w:pPr>
        <w:spacing w:after="20"/>
        <w:ind w:left="680"/>
      </w:pPr>
      <w:r>
        <w:rPr>
          <w:b/>
          <w:color w:val="595959"/>
          <w:sz w:val="18"/>
        </w:rPr>
        <w:t xml:space="preserve">Interfaz: </w:t>
      </w:r>
      <w:r>
        <w:rPr>
          <w:rFonts w:ascii="Calibri" w:hAnsi="Calibri"/>
          <w:color w:val="595959"/>
          <w:sz w:val="18"/>
        </w:rPr>
        <w:t>La publicación es el disparador de PRO-ALM-03; Almacén verifica disponibilidad y solicita material a partir de ella</w:t>
      </w:r>
    </w:p>
    <w:p>
      <w:pPr>
        <w:spacing w:after="60"/>
        <w:ind w:left="340"/>
      </w:pPr>
      <w:r>
        <w:rPr>
          <w:b/>
          <w:sz w:val="20"/>
        </w:rPr>
        <w:t xml:space="preserve">12. Coordinar requerimiento de material </w:t>
      </w:r>
      <w:r>
        <w:rPr>
          <w:rFonts w:ascii="Calibri" w:hAnsi="Calibri"/>
          <w:sz w:val="20"/>
        </w:rPr>
        <w:t>· El requerimiento de material por cliente, con marca y cantidad de paneles, inversor, estructura y material eléctrico tomado del render, se coordina con Almacén junto con el programa.</w:t>
      </w:r>
    </w:p>
    <w:p>
      <w:pPr>
        <w:spacing w:after="20"/>
        <w:ind w:left="680"/>
      </w:pPr>
      <w:r>
        <w:rPr>
          <w:b/>
          <w:color w:val="595959"/>
          <w:sz w:val="18"/>
        </w:rPr>
        <w:t xml:space="preserve">Responsable: </w:t>
      </w:r>
      <w:r>
        <w:rPr>
          <w:rFonts w:ascii="Calibri" w:hAnsi="Calibri"/>
          <w:color w:val="595959"/>
          <w:sz w:val="18"/>
        </w:rPr>
        <w:t>Coordinación de Instalaciones y Vendedor</w:t>
      </w:r>
    </w:p>
    <w:p>
      <w:pPr>
        <w:spacing w:after="20"/>
        <w:ind w:left="680"/>
      </w:pPr>
      <w:r>
        <w:rPr>
          <w:b/>
          <w:color w:val="595959"/>
          <w:sz w:val="18"/>
        </w:rPr>
        <w:t xml:space="preserve">Registro: </w:t>
      </w:r>
      <w:r>
        <w:rPr>
          <w:rFonts w:ascii="Calibri" w:hAnsi="Calibri"/>
          <w:color w:val="595959"/>
          <w:sz w:val="18"/>
        </w:rPr>
        <w:t>Requerimiento de material por cliente</w:t>
      </w:r>
    </w:p>
    <w:p>
      <w:pPr>
        <w:spacing w:after="20"/>
        <w:ind w:left="680"/>
      </w:pPr>
      <w:r>
        <w:rPr>
          <w:b/>
          <w:color w:val="595959"/>
          <w:sz w:val="18"/>
        </w:rPr>
        <w:t xml:space="preserve">Frontera: </w:t>
      </w:r>
      <w:r>
        <w:rPr>
          <w:rFonts w:ascii="Calibri" w:hAnsi="Calibri"/>
          <w:color w:val="595959"/>
          <w:sz w:val="18"/>
        </w:rPr>
        <w:t>Almacén verifica existencias, surte y despacha conforme a PRO-ALM-03; la programación no surte; el registro de movimientos en Bind corresponde a Compras</w:t>
      </w:r>
    </w:p>
    <w:p>
      <w:pPr>
        <w:keepNext/>
        <w:spacing w:before="240" w:after="80"/>
        <w:pBdr>
          <w:bottom w:val="single" w:sz="8" w:color="F0E528"/>
        </w:pBdr>
      </w:pPr>
      <w:r>
        <w:rPr>
          <w:rFonts w:ascii="Georgia" w:hAnsi="Georgia"/>
          <w:b/>
          <w:color w:val="0056B4"/>
          <w:sz w:val="22"/>
        </w:rPr>
        <w:t>9. REGISTROS Y FORMATOS ASOCIADOS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Código</w:t>
            </w:r>
          </w:p>
        </w:tc>
        <w:tc>
          <w:tcPr>
            <w:tcW w:type="dxa" w:w="7344"/>
            <w:shd w:val="clear" w:fill="0056B4"/>
          </w:tcPr>
          <w:p>
            <w:pPr>
              <w:jc w:val="center"/>
            </w:pPr>
            <w:r/>
            <w:r>
              <w:rPr>
                <w:rFonts w:ascii="Calibri" w:hAnsi="Calibri"/>
                <w:b/>
                <w:color w:val="FFFFFF"/>
                <w:sz w:val="17"/>
              </w:rPr>
              <w:t>Formato</w:t>
            </w:r>
          </w:p>
        </w:tc>
      </w:tr>
      <w:tr>
        <w:tc>
          <w:tcPr>
            <w:tcW w:type="dxa" w:w="2856"/>
          </w:tcPr>
          <w:p>
            <w:r/>
            <w:r>
              <w:rPr>
                <w:rFonts w:ascii="Calibri" w:hAnsi="Calibri"/>
                <w:b w:val="0"/>
                <w:sz w:val="19"/>
              </w:rPr>
              <w:t>FOR-OPE-01</w:t>
            </w:r>
          </w:p>
        </w:tc>
        <w:tc>
          <w:tcPr>
            <w:tcW w:type="dxa" w:w="7344"/>
          </w:tcPr>
          <w:p>
            <w:r/>
            <w:r>
              <w:rPr>
                <w:rFonts w:ascii="Calibri" w:hAnsi="Calibri"/>
                <w:b w:val="0"/>
                <w:sz w:val="19"/>
              </w:rPr>
              <w:t>Programa Semanal de Instalaciones</w:t>
            </w:r>
          </w:p>
        </w:tc>
      </w:tr>
    </w:tbl>
    <w:p>
      <w:pPr>
        <w:keepNext/>
        <w:spacing w:before="240" w:after="80"/>
        <w:pBdr>
          <w:bottom w:val="single" w:sz="8" w:color="F0E528"/>
        </w:pBdr>
      </w:pPr>
      <w:r>
        <w:rPr>
          <w:rFonts w:ascii="Georgia" w:hAnsi="Georgia"/>
          <w:b/>
          <w:color w:val="0056B4"/>
          <w:sz w:val="22"/>
        </w:rPr>
        <w:t>10.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1224"/>
            <w:shd w:val="clear" w:fill="0056B4"/>
          </w:tcPr>
          <w:p>
            <w:pPr>
              <w:jc w:val="center"/>
            </w:pPr>
            <w:r/>
            <w:r>
              <w:rPr>
                <w:rFonts w:ascii="Calibri" w:hAnsi="Calibri"/>
                <w:b/>
                <w:color w:val="FFFFFF"/>
                <w:sz w:val="17"/>
              </w:rPr>
              <w:t>Versión</w:t>
            </w:r>
          </w:p>
        </w:tc>
        <w:tc>
          <w:tcPr>
            <w:tcW w:type="dxa" w:w="1632"/>
            <w:shd w:val="clear" w:fill="0056B4"/>
          </w:tcPr>
          <w:p>
            <w:pPr>
              <w:jc w:val="center"/>
            </w:pPr>
            <w:r/>
            <w:r>
              <w:rPr>
                <w:rFonts w:ascii="Calibri" w:hAnsi="Calibri"/>
                <w:b/>
                <w:color w:val="FFFFFF"/>
                <w:sz w:val="17"/>
              </w:rPr>
              <w:t>Fecha</w:t>
            </w:r>
          </w:p>
        </w:tc>
        <w:tc>
          <w:tcPr>
            <w:tcW w:type="dxa" w:w="5712"/>
            <w:shd w:val="clear" w:fill="0056B4"/>
          </w:tcPr>
          <w:p>
            <w:pPr>
              <w:jc w:val="center"/>
            </w:pPr>
            <w:r/>
            <w:r>
              <w:rPr>
                <w:rFonts w:ascii="Calibri" w:hAnsi="Calibri"/>
                <w:b/>
                <w:color w:val="FFFFFF"/>
                <w:sz w:val="17"/>
              </w:rPr>
              <w:t>Descripción del cambio</w:t>
            </w:r>
          </w:p>
        </w:tc>
        <w:tc>
          <w:tcPr>
            <w:tcW w:type="dxa" w:w="1632"/>
            <w:shd w:val="clear" w:fill="0056B4"/>
          </w:tcPr>
          <w:p>
            <w:pPr>
              <w:jc w:val="center"/>
            </w:pPr>
            <w:r/>
            <w:r>
              <w:rPr>
                <w:rFonts w:ascii="Calibri" w:hAnsi="Calibri"/>
                <w:b/>
                <w:color w:val="FFFFFF"/>
                <w:sz w:val="17"/>
              </w:rPr>
              <w:t>Elaboró</w:t>
            </w:r>
          </w:p>
        </w:tc>
      </w:tr>
      <w:tr>
        <w:tc>
          <w:tcPr>
            <w:tcW w:type="dxa" w:w="1224"/>
          </w:tcPr>
          <w:p>
            <w:r/>
            <w:r>
              <w:rPr>
                <w:rFonts w:ascii="Calibri" w:hAnsi="Calibri"/>
                <w:b w:val="0"/>
                <w:sz w:val="19"/>
              </w:rPr>
              <w:t>1.0</w:t>
            </w:r>
          </w:p>
        </w:tc>
        <w:tc>
          <w:tcPr>
            <w:tcW w:type="dxa" w:w="1632"/>
          </w:tcPr>
          <w:p>
            <w:r/>
            <w:r>
              <w:rPr>
                <w:rFonts w:ascii="Calibri" w:hAnsi="Calibri"/>
                <w:b w:val="0"/>
                <w:sz w:val="19"/>
              </w:rPr>
              <w:t>Septiembre 2026</w:t>
            </w:r>
          </w:p>
        </w:tc>
        <w:tc>
          <w:tcPr>
            <w:tcW w:type="dxa" w:w="5712"/>
          </w:tcPr>
          <w:p>
            <w:r/>
            <w:r>
              <w:rPr>
                <w:rFonts w:ascii="Calibri" w:hAnsi="Calibri"/>
                <w:b w:val="0"/>
                <w:sz w:val="19"/>
              </w:rPr>
              <w:t>Emisión inicial del procedimiento de programación semanal de instalaciones</w:t>
            </w:r>
          </w:p>
        </w:tc>
        <w:tc>
          <w:tcPr>
            <w:tcW w:type="dxa" w:w="1632"/>
          </w:tcPr>
          <w:p>
            <w:r/>
            <w:r>
              <w:rPr>
                <w:rFonts w:ascii="Calibri" w:hAnsi="Calibri"/>
                <w:b w:val="0"/>
                <w:sz w:val="19"/>
              </w:rPr>
              <w:t>DETA Consultores</w:t>
            </w:r>
          </w:p>
        </w:tc>
      </w:tr>
    </w:tbl>
    <w:p>
      <w:pPr>
        <w:keepNext/>
        <w:spacing w:before="240" w:after="80"/>
        <w:pBdr>
          <w:bottom w:val="single" w:sz="8" w:color="F0E528"/>
        </w:pBdr>
      </w:pPr>
      <w:r>
        <w:rPr>
          <w:rFonts w:ascii="Georgia" w:hAnsi="Georgia"/>
          <w:b/>
          <w:color w:val="0056B4"/>
          <w:sz w:val="22"/>
        </w:rPr>
        <w:t>11. CONTROL DE FIRMAS</w:t>
      </w:r>
    </w:p>
    <w:p>
      <w:pPr>
        <w:spacing w:after="120"/>
      </w:pPr>
    </w:p>
    <w:p>
      <w:pPr>
        <w:keepNext/>
        <w:spacing w:after="320"/>
      </w:pPr>
    </w:p>
    <w:tbl>
      <w:tblPr>
        <w:tblW w:type="auto" w:w="0"/>
        <w:tblLook w:firstColumn="1" w:firstRow="1" w:lastColumn="0" w:lastRow="0" w:noHBand="0" w:noVBand="1" w:val="04A0"/>
      </w:tblPr>
      <w:tblGrid>
        <w:gridCol w:w="3400"/>
        <w:gridCol w:w="3400"/>
        <w:gridCol w:w="3400"/>
      </w:tblGrid>
      <w:t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c>
          <w:tcPr>
            <w:tcW w:type="dxa" w:w="3400"/>
          </w:tcPr>
          <w:p>
            <w:pPr>
              <w:jc w:val="center"/>
            </w:pPr>
            <w:r/>
            <w:r>
              <w:rPr>
                <w:rFonts w:ascii="Calibri" w:hAnsi="Calibri"/>
                <w:b w:val="0"/>
                <w:color w:val="595959"/>
                <w:sz w:val="17"/>
              </w:rPr>
              <w:t>Elaboró</w:t>
              <w:br/>
              <w:t>DETA Consultores</w:t>
            </w:r>
          </w:p>
        </w:tc>
        <w:tc>
          <w:tcPr>
            <w:tcW w:type="dxa" w:w="3400"/>
          </w:tcPr>
          <w:p>
            <w:pPr>
              <w:jc w:val="center"/>
            </w:pPr>
            <w:r/>
            <w:r>
              <w:rPr>
                <w:rFonts w:ascii="Calibri" w:hAnsi="Calibri"/>
                <w:b w:val="0"/>
                <w:color w:val="595959"/>
                <w:sz w:val="17"/>
              </w:rPr>
              <w:t>Revisó</w:t>
              <w:br/>
              <w:t>Operaciones / Coordinación de Instalaciones</w:t>
            </w:r>
          </w:p>
        </w:tc>
        <w:tc>
          <w:tcPr>
            <w:tcW w:type="dxa" w:w="3400"/>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Procedimiento · PRO-OPE-01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