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6" w:color="000000"/>
          <w:left w:val="single" w:sz="6" w:color="000000"/>
          <w:bottom w:val="single" w:sz="6" w:color="000000"/>
          <w:right w:val="single" w:sz="6" w:color="000000"/>
          <w:insideH w:val="single" w:sz="6" w:color="000000"/>
          <w:insideV w:val="single" w:sz="6" w:color="000000"/>
        </w:tblBorders>
      </w:tblPr>
      <w:tblGrid>
        <w:gridCol w:w="2550"/>
        <w:gridCol w:w="2550"/>
        <w:gridCol w:w="2550"/>
        <w:gridCol w:w="2550"/>
      </w:tblGrid>
      <w:tr>
        <w:tc>
          <w:tcPr>
            <w:tcW w:type="dxa" w:w="2448"/>
            <w:vMerge w:val="restart"/>
          </w:tcPr>
          <w:p>
            <w:pPr>
              <w:jc w:val="center"/>
            </w:pPr>
            <w:r/>
            <w:r>
              <w:drawing>
                <wp:inline xmlns:a="http://schemas.openxmlformats.org/drawingml/2006/main" xmlns:pic="http://schemas.openxmlformats.org/drawingml/2006/picture">
                  <wp:extent cx="1224000" cy="402171"/>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1224000" cy="402171"/>
                          </a:xfrm>
                          <a:prstGeom prst="rect"/>
                        </pic:spPr>
                      </pic:pic>
                    </a:graphicData>
                  </a:graphic>
                </wp:inline>
              </w:drawing>
            </w:r>
          </w:p>
        </w:tc>
        <w:tc>
          <w:tcPr>
            <w:tcW w:type="dxa" w:w="4080"/>
            <w:vMerge w:val="restart"/>
            <w:shd w:val="clear" w:fill="F2F2F2"/>
          </w:tcPr>
          <w:p>
            <w:pPr>
              <w:jc w:val="center"/>
            </w:pPr>
            <w:r/>
            <w:r>
              <w:rPr>
                <w:rFonts w:ascii="Georgia" w:hAnsi="Georgia"/>
                <w:b/>
                <w:sz w:val="26"/>
              </w:rPr>
              <w:t>Recepcion, Inspeccion y Entrada a Inventario</w:t>
            </w:r>
          </w:p>
        </w:tc>
        <w:tc>
          <w:tcPr>
            <w:tcW w:type="dxa" w:w="1836"/>
          </w:tcPr>
          <w:p>
            <w:r/>
            <w:r>
              <w:rPr>
                <w:rFonts w:ascii="Calibri" w:hAnsi="Calibri"/>
                <w:b/>
                <w:sz w:val="15"/>
              </w:rPr>
              <w:t xml:space="preserve">Código: </w:t>
            </w:r>
            <w:r>
              <w:rPr>
                <w:rFonts w:ascii="Calibri" w:hAnsi="Calibri"/>
                <w:sz w:val="15"/>
              </w:rPr>
              <w:t>PRO-ALM-01</w:t>
            </w:r>
          </w:p>
        </w:tc>
        <w:tc>
          <w:tcPr>
            <w:tcW w:type="dxa" w:w="1836"/>
          </w:tcPr>
          <w:p>
            <w:r/>
            <w:r>
              <w:rPr>
                <w:rFonts w:ascii="Calibri" w:hAnsi="Calibri"/>
                <w:b/>
                <w:sz w:val="15"/>
              </w:rPr>
              <w:t xml:space="preserve">Versión: </w:t>
            </w:r>
            <w:r>
              <w:rPr>
                <w:rFonts w:ascii="Calibri" w:hAnsi="Calibri"/>
                <w:sz w:val="15"/>
              </w:rPr>
              <w:t>1.0</w:t>
            </w:r>
          </w:p>
        </w:tc>
      </w:tr>
      <w:tr>
        <w:tc>
          <w:tcPr>
            <w:tcW w:type="dxa" w:w="2448"/>
            <w:vMerge/>
          </w:tcPr>
          <w:p/>
        </w:tc>
        <w:tc>
          <w:tcPr>
            <w:tcW w:type="dxa" w:w="4080"/>
            <w:vMerge/>
          </w:tcPr>
          <w:p/>
        </w:tc>
        <w:tc>
          <w:tcPr>
            <w:tcW w:type="dxa" w:w="1836"/>
          </w:tcPr>
          <w:p>
            <w:r/>
            <w:r>
              <w:rPr>
                <w:rFonts w:ascii="Calibri" w:hAnsi="Calibri"/>
                <w:b/>
                <w:sz w:val="15"/>
              </w:rPr>
              <w:t xml:space="preserve">Emisión: </w:t>
            </w:r>
            <w:r>
              <w:rPr>
                <w:rFonts w:ascii="Calibri" w:hAnsi="Calibri"/>
                <w:sz w:val="15"/>
              </w:rPr>
              <w:t>Septiembre 2026</w:t>
            </w:r>
          </w:p>
        </w:tc>
        <w:tc>
          <w:tcPr>
            <w:tcW w:type="dxa" w:w="1836"/>
          </w:tcPr>
          <w:p>
            <w:r/>
            <w:r>
              <w:rPr>
                <w:rFonts w:ascii="Calibri" w:hAnsi="Calibri"/>
                <w:b/>
                <w:sz w:val="15"/>
              </w:rPr>
              <w:t xml:space="preserve">Revisión: </w:t>
            </w:r>
            <w:r>
              <w:rPr>
                <w:rFonts w:ascii="Calibri" w:hAnsi="Calibri"/>
                <w:sz w:val="15"/>
              </w:rPr>
              <w:t>Diciembre 2026</w:t>
            </w:r>
          </w:p>
        </w:tc>
      </w:tr>
      <w:tr>
        <w:tc>
          <w:tcPr>
            <w:tcW w:type="dxa" w:w="2448"/>
            <w:vMerge/>
          </w:tcPr>
          <w:p/>
        </w:tc>
        <w:tc>
          <w:tcPr>
            <w:tcW w:type="dxa" w:w="4080"/>
          </w:tcPr>
          <w:p>
            <w:pPr>
              <w:jc w:val="center"/>
            </w:pPr>
            <w:r/>
            <w:r>
              <w:rPr>
                <w:rFonts w:ascii="Calibri" w:hAnsi="Calibri"/>
                <w:b w:val="0"/>
                <w:color w:val="595959"/>
                <w:sz w:val="16"/>
              </w:rPr>
              <w:t>procedimiento</w:t>
            </w:r>
          </w:p>
        </w:tc>
        <w:tc>
          <w:tcPr>
            <w:tcW w:type="dxa" w:w="1836"/>
          </w:tcPr>
          <w:p>
            <w:r/>
            <w:r>
              <w:rPr>
                <w:rFonts w:ascii="Calibri" w:hAnsi="Calibri"/>
                <w:b/>
                <w:sz w:val="15"/>
              </w:rPr>
              <w:t xml:space="preserve">Estado: </w:t>
            </w:r>
            <w:r>
              <w:rPr>
                <w:rFonts w:ascii="Calibri" w:hAnsi="Calibri"/>
                <w:sz w:val="15"/>
              </w:rPr>
              <w:t>Borrador para validacion</w:t>
            </w:r>
          </w:p>
        </w:tc>
        <w:tc>
          <w:tcPr>
            <w:tcW w:type="dxa" w:w="1836"/>
          </w:tcPr>
          <w:p>
            <w:r/>
            <w:r>
              <w:rPr>
                <w:rFonts w:ascii="Calibri" w:hAnsi="Calibri"/>
                <w:b/>
                <w:sz w:val="15"/>
              </w:rPr>
              <w:t xml:space="preserve">Página: </w:t>
            </w:r>
            <w:r>
              <w:rPr>
                <w:rFonts w:ascii="Calibri" w:hAnsi="Calibri"/>
                <w:sz w:val="15"/>
              </w:rPr>
              <w:fldChar w:fldCharType="begin"/>
            </w:r>
            <w:r>
              <w:rPr>
                <w:rFonts w:ascii="Calibri" w:hAnsi="Calibri"/>
                <w:sz w:val="15"/>
              </w:rPr>
              <w:instrText xml:space="preserve"> PAGE </w:instrText>
            </w:r>
            <w:r>
              <w:fldChar w:fldCharType="separate"/>
            </w:r>
            <w:r>
              <w:rPr>
                <w:rFonts w:ascii="Calibri" w:hAnsi="Calibri"/>
                <w:sz w:val="15"/>
              </w:rPr>
              <w:t>1</w:t>
            </w:r>
            <w:r>
              <w:fldChar w:fldCharType="end"/>
            </w:r>
            <w:r>
              <w:rPr>
                <w:rFonts w:ascii="Calibri" w:hAnsi="Calibri"/>
                <w:sz w:val="15"/>
              </w:rPr>
              <w:t xml:space="preserve"> de </w:t>
            </w:r>
            <w:r>
              <w:rPr>
                <w:rFonts w:ascii="Calibri" w:hAnsi="Calibri"/>
                <w:sz w:val="15"/>
              </w:rPr>
              <w:fldChar w:fldCharType="begin"/>
            </w:r>
            <w:r>
              <w:rPr>
                <w:rFonts w:ascii="Calibri" w:hAnsi="Calibri"/>
                <w:sz w:val="15"/>
              </w:rPr>
              <w:instrText xml:space="preserve"> NUMPAGES </w:instrText>
            </w:r>
            <w:r>
              <w:fldChar w:fldCharType="separate"/>
            </w:r>
            <w:r>
              <w:rPr>
                <w:rFonts w:ascii="Calibri" w:hAnsi="Calibri"/>
                <w:sz w:val="15"/>
              </w:rPr>
              <w:t>1</w:t>
            </w:r>
            <w:r>
              <w:fldChar w:fldCharType="end"/>
            </w:r>
          </w:p>
        </w:tc>
      </w:tr>
      <w:tr>
        <w:tc>
          <w:tcPr>
            <w:tcW w:type="dxa" w:w="2448"/>
            <w:vMerge/>
          </w:tcPr>
          <w:p/>
        </w:tc>
        <w:tc>
          <w:tcPr>
            <w:tcW w:type="dxa" w:w="4080"/>
          </w:tcPr>
          <w:p>
            <w:pPr>
              <w:jc w:val="center"/>
            </w:pPr>
            <w:r/>
            <w:r>
              <w:rPr>
                <w:rFonts w:ascii="Calibri" w:hAnsi="Calibri"/>
                <w:b w:val="0"/>
                <w:color w:val="595959"/>
                <w:sz w:val="16"/>
              </w:rPr>
              <w:t>Cláusula ISO 9001: ISO 9001:2015 clausulas 8.4, 8.5.4, 8.7</w:t>
            </w:r>
          </w:p>
        </w:tc>
        <w:tc>
          <w:tcPr>
            <w:tcW w:type="dxa" w:w="1836"/>
          </w:tcPr>
          <w:p>
            <w:r/>
            <w:r>
              <w:rPr>
                <w:rFonts w:ascii="Calibri" w:hAnsi="Calibri"/>
                <w:b/>
                <w:sz w:val="15"/>
              </w:rPr>
              <w:t xml:space="preserve">Propietario: </w:t>
            </w:r>
            <w:r>
              <w:rPr>
                <w:rFonts w:ascii="Calibri" w:hAnsi="Calibri"/>
                <w:sz w:val="15"/>
              </w:rPr>
              <w:t>Almacen</w:t>
            </w:r>
          </w:p>
        </w:tc>
        <w:tc>
          <w:tcPr>
            <w:tcW w:type="dxa" w:w="1836"/>
          </w:tcPr>
          <w:p>
            <w:r/>
            <w:r>
              <w:rPr>
                <w:rFonts w:ascii="Calibri" w:hAnsi="Calibri"/>
                <w:b/>
                <w:sz w:val="15"/>
              </w:rPr>
              <w:t xml:space="preserve">Elaboró: </w:t>
            </w:r>
            <w:r>
              <w:rPr>
                <w:rFonts w:ascii="Calibri" w:hAnsi="Calibri"/>
                <w:sz w:val="15"/>
              </w:rPr>
              <w:t>DETA Consultores</w:t>
            </w:r>
          </w:p>
        </w:tc>
      </w:tr>
    </w:tbl>
    <w:p>
      <w:pPr>
        <w:spacing w:before="40" w:after="160"/>
        <w:pBdr>
          <w:bottom w:val="single" w:sz="18" w:color="F0E528"/>
        </w:pBdr>
      </w:pP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Importante: Este procedimiento cubre exclusivamente la recepcion fisica, la verificacion por conteo, la inspeccion de calidad al ingreso y la entrega del packing list a Compras. Este procedimiento NO registra el material en el sistema Bind. El alta y el registro en Bind los realiza Compras (Lety) a partir del packing list que entrega Almacen. Esta es la frontera dura del proceso: Almacen verifica, inspecciona y documenta lo recibido; Compras da de alta en Bind. Tampoco cubre la revision electrica ni el encendido del equipo, que corresponden a Ingenieria (PRO-ING-04), ni el retrabajo por defecto de instalacion, que corresponde a Postventa (PRO-PVM).</w:t>
            </w:r>
          </w:p>
        </w:tc>
      </w:tr>
    </w:tbl>
    <w:p>
      <w:pPr>
        <w:spacing w:after="40"/>
      </w:pPr>
    </w:p>
    <w:p>
      <w:pPr>
        <w:keepNext/>
        <w:spacing w:before="240" w:after="80"/>
        <w:pBdr>
          <w:bottom w:val="single" w:sz="8" w:color="F0E528"/>
        </w:pBdr>
      </w:pPr>
      <w:r>
        <w:rPr>
          <w:rFonts w:ascii="Georgia" w:hAnsi="Georgia"/>
          <w:b/>
          <w:color w:val="0056B4"/>
          <w:sz w:val="22"/>
        </w:rPr>
        <w:t>1. OBJETIVO</w:t>
      </w:r>
    </w:p>
    <w:p>
      <w:pPr>
        <w:spacing w:after="120"/>
      </w:pPr>
      <w:r>
        <w:rPr>
          <w:rFonts w:ascii="Calibri" w:hAnsi="Calibri"/>
          <w:color w:val="1C242E"/>
          <w:sz w:val="21"/>
        </w:rPr>
        <w:t>Asegurar que todo material que ingresa a Almacen SolarPro sea recibido, contado, inspeccionado y documentado de forma controlada antes de estar disponible para despacho, garantizando que la cantidad y el estado fisico del producto coincidan con la evidencia entregada a Compras para su entrada a Bind. El procedimiento previene que producto danado, incompleto o no verificado entre a inventario disponible y establece que toda no conformidad de recepcion se registre el mismo dia en que se detecta.</w:t>
      </w:r>
    </w:p>
    <w:p>
      <w:pPr>
        <w:keepNext/>
        <w:spacing w:before="240" w:after="80"/>
        <w:pBdr>
          <w:bottom w:val="single" w:sz="8" w:color="F0E528"/>
        </w:pBdr>
      </w:pPr>
      <w:r>
        <w:rPr>
          <w:rFonts w:ascii="Georgia" w:hAnsi="Georgia"/>
          <w:b/>
          <w:color w:val="0056B4"/>
          <w:sz w:val="22"/>
        </w:rPr>
        <w:t>2. ALCANCE</w:t>
      </w:r>
    </w:p>
    <w:p>
      <w:pPr>
        <w:spacing w:after="120"/>
      </w:pPr>
      <w:r>
        <w:rPr>
          <w:rFonts w:ascii="Calibri" w:hAnsi="Calibri"/>
          <w:color w:val="1C242E"/>
          <w:sz w:val="21"/>
        </w:rPr>
        <w:t>Aplica desde el arribo fisico del material por cualquiera de las tres vias de recepcion (recoleccion con el proveedor, envio a matriz o a bodega Sierra Azul, y paqueteria a domicilio) hasta la entrega del packing list verificado a Compras para su entrada a Bind. Cubre paneles, inversores, estructura y material electrico. Quedan fuera del alcance: el alta y registro en el sistema Bind, que ejecuta Compras (Lety); la revision electrica y el encendido, que ejecuta Ingenieria (PRO-ING-04); el retrabajo por defectos de instalacion, que ejecuta Postventa (PRO-PVM); y el despacho de material a obra, que se documenta en su procedimiento correspondiente de Almacen.</w:t>
      </w:r>
    </w:p>
    <w:p>
      <w:pPr>
        <w:keepNext/>
        <w:spacing w:before="240" w:after="80"/>
        <w:pBdr>
          <w:bottom w:val="single" w:sz="8" w:color="F0E528"/>
        </w:pBdr>
      </w:pPr>
      <w:r>
        <w:rPr>
          <w:rFonts w:ascii="Georgia" w:hAnsi="Georgia"/>
          <w:b/>
          <w:color w:val="0056B4"/>
          <w:sz w:val="22"/>
        </w:rPr>
        <w:t>3. DEFINICIONES Y ABREVIATURAS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2856"/>
            <w:shd w:val="clear" w:fill="0056B4"/>
          </w:tcPr>
          <w:p>
            <w:pPr>
              <w:jc w:val="center"/>
            </w:pPr>
            <w:r/>
            <w:r>
              <w:rPr>
                <w:rFonts w:ascii="Calibri" w:hAnsi="Calibri"/>
                <w:b/>
                <w:color w:val="FFFFFF"/>
                <w:sz w:val="17"/>
              </w:rPr>
              <w:t>Término</w:t>
            </w:r>
          </w:p>
        </w:tc>
        <w:tc>
          <w:tcPr>
            <w:tcW w:type="dxa" w:w="7344"/>
            <w:shd w:val="clear" w:fill="0056B4"/>
          </w:tcPr>
          <w:p>
            <w:pPr>
              <w:jc w:val="center"/>
            </w:pPr>
            <w:r/>
            <w:r>
              <w:rPr>
                <w:rFonts w:ascii="Calibri" w:hAnsi="Calibri"/>
                <w:b/>
                <w:color w:val="FFFFFF"/>
                <w:sz w:val="17"/>
              </w:rPr>
              <w:t>Definición</w:t>
            </w:r>
          </w:p>
        </w:tc>
      </w:tr>
      <w:tr>
        <w:tc>
          <w:tcPr>
            <w:tcW w:type="dxa" w:w="2856"/>
          </w:tcPr>
          <w:p>
            <w:r/>
            <w:r>
              <w:rPr>
                <w:rFonts w:ascii="Calibri" w:hAnsi="Calibri"/>
                <w:b w:val="0"/>
                <w:sz w:val="19"/>
              </w:rPr>
              <w:t>Via de recepcion</w:t>
            </w:r>
          </w:p>
        </w:tc>
        <w:tc>
          <w:tcPr>
            <w:tcW w:type="dxa" w:w="7344"/>
          </w:tcPr>
          <w:p>
            <w:r/>
            <w:r>
              <w:rPr>
                <w:rFonts w:ascii="Calibri" w:hAnsi="Calibri"/>
                <w:b w:val="0"/>
                <w:sz w:val="19"/>
              </w:rPr>
              <w:t>Cada uno de los tres canales por los que ingresa material a Almacen SolarPro: recoleccion directa con el proveedor, envio del proveedor a matriz o a la bodega Sierra Azul, y entrega por paqueteria a domicilio.</w:t>
            </w:r>
          </w:p>
        </w:tc>
      </w:tr>
      <w:tr>
        <w:tc>
          <w:tcPr>
            <w:tcW w:type="dxa" w:w="2856"/>
          </w:tcPr>
          <w:p>
            <w:r/>
            <w:r>
              <w:rPr>
                <w:rFonts w:ascii="Calibri" w:hAnsi="Calibri"/>
                <w:b w:val="0"/>
                <w:sz w:val="19"/>
              </w:rPr>
              <w:t>Verificacion por conteo</w:t>
            </w:r>
          </w:p>
        </w:tc>
        <w:tc>
          <w:tcPr>
            <w:tcW w:type="dxa" w:w="7344"/>
          </w:tcPr>
          <w:p>
            <w:r/>
            <w:r>
              <w:rPr>
                <w:rFonts w:ascii="Calibri" w:hAnsi="Calibri"/>
                <w:b w:val="0"/>
                <w:sz w:val="19"/>
              </w:rPr>
              <w:t>Actividad obligatoria de contar fisicamente cada partida recibida y contrastarla contra la cantidad declarada en la documentacion del proveedor antes de aceptar el material.</w:t>
            </w:r>
          </w:p>
        </w:tc>
      </w:tr>
      <w:tr>
        <w:tc>
          <w:tcPr>
            <w:tcW w:type="dxa" w:w="2856"/>
          </w:tcPr>
          <w:p>
            <w:r/>
            <w:r>
              <w:rPr>
                <w:rFonts w:ascii="Calibri" w:hAnsi="Calibri"/>
                <w:b w:val="0"/>
                <w:sz w:val="19"/>
              </w:rPr>
              <w:t>Partida</w:t>
            </w:r>
          </w:p>
        </w:tc>
        <w:tc>
          <w:tcPr>
            <w:tcW w:type="dxa" w:w="7344"/>
          </w:tcPr>
          <w:p>
            <w:r/>
            <w:r>
              <w:rPr>
                <w:rFonts w:ascii="Calibri" w:hAnsi="Calibri"/>
                <w:b w:val="0"/>
                <w:sz w:val="19"/>
              </w:rPr>
              <w:t>Cada renglon o concepto individual dentro de una entrega, identificado por descripcion, marca y cantidad. Cada partida se cuenta de forma independiente.</w:t>
            </w:r>
          </w:p>
        </w:tc>
      </w:tr>
      <w:tr>
        <w:tc>
          <w:tcPr>
            <w:tcW w:type="dxa" w:w="2856"/>
          </w:tcPr>
          <w:p>
            <w:r/>
            <w:r>
              <w:rPr>
                <w:rFonts w:ascii="Calibri" w:hAnsi="Calibri"/>
                <w:b w:val="0"/>
                <w:sz w:val="19"/>
              </w:rPr>
              <w:t>Packing list</w:t>
            </w:r>
          </w:p>
        </w:tc>
        <w:tc>
          <w:tcPr>
            <w:tcW w:type="dxa" w:w="7344"/>
          </w:tcPr>
          <w:p>
            <w:r/>
            <w:r>
              <w:rPr>
                <w:rFonts w:ascii="Calibri" w:hAnsi="Calibri"/>
                <w:b w:val="0"/>
                <w:sz w:val="19"/>
              </w:rPr>
              <w:t>Documento que Almacen entrega a Compras con el detalle verificado de lo recibido (cantidades y condicion), y que sirve como unica fuente para el alta en Bind. Se soporta en el formato FOR-ALM-01.</w:t>
            </w:r>
          </w:p>
        </w:tc>
      </w:tr>
      <w:tr>
        <w:tc>
          <w:tcPr>
            <w:tcW w:type="dxa" w:w="2856"/>
          </w:tcPr>
          <w:p>
            <w:r/>
            <w:r>
              <w:rPr>
                <w:rFonts w:ascii="Calibri" w:hAnsi="Calibri"/>
                <w:b w:val="0"/>
                <w:sz w:val="19"/>
              </w:rPr>
              <w:t>Bind</w:t>
            </w:r>
          </w:p>
        </w:tc>
        <w:tc>
          <w:tcPr>
            <w:tcW w:type="dxa" w:w="7344"/>
          </w:tcPr>
          <w:p>
            <w:r/>
            <w:r>
              <w:rPr>
                <w:rFonts w:ascii="Calibri" w:hAnsi="Calibri"/>
                <w:b w:val="0"/>
                <w:sz w:val="19"/>
              </w:rPr>
              <w:t>Sistema de gestion en el que Compras registra las existencias. Almacen no captura en Bind; entrega el packing list y Compras realiza la entrada.</w:t>
            </w:r>
          </w:p>
        </w:tc>
      </w:tr>
      <w:tr>
        <w:tc>
          <w:tcPr>
            <w:tcW w:type="dxa" w:w="2856"/>
          </w:tcPr>
          <w:p>
            <w:r/>
            <w:r>
              <w:rPr>
                <w:rFonts w:ascii="Calibri" w:hAnsi="Calibri"/>
                <w:b w:val="0"/>
                <w:sz w:val="19"/>
              </w:rPr>
              <w:t>No conformidad de recepcion (NC)</w:t>
            </w:r>
          </w:p>
        </w:tc>
        <w:tc>
          <w:tcPr>
            <w:tcW w:type="dxa" w:w="7344"/>
          </w:tcPr>
          <w:p>
            <w:r/>
            <w:r>
              <w:rPr>
                <w:rFonts w:ascii="Calibri" w:hAnsi="Calibri"/>
                <w:b w:val="0"/>
                <w:sz w:val="19"/>
              </w:rPr>
              <w:t>Toda discrepancia detectada al recibir: faltante o sobrante de conteo, dano fisico, empaque comprometido, o producto que no coincide con lo pedido. Se documenta en el formato FOR-ALM-03 el mismo dia.</w:t>
            </w:r>
          </w:p>
        </w:tc>
      </w:tr>
      <w:tr>
        <w:tc>
          <w:tcPr>
            <w:tcW w:type="dxa" w:w="2856"/>
          </w:tcPr>
          <w:p>
            <w:r/>
            <w:r>
              <w:rPr>
                <w:rFonts w:ascii="Calibri" w:hAnsi="Calibri"/>
                <w:b w:val="0"/>
                <w:sz w:val="19"/>
              </w:rPr>
              <w:t>Fractura interna de panel</w:t>
            </w:r>
          </w:p>
        </w:tc>
        <w:tc>
          <w:tcPr>
            <w:tcW w:type="dxa" w:w="7344"/>
          </w:tcPr>
          <w:p>
            <w:r/>
            <w:r>
              <w:rPr>
                <w:rFonts w:ascii="Calibri" w:hAnsi="Calibri"/>
                <w:b w:val="0"/>
                <w:sz w:val="19"/>
              </w:rPr>
              <w:t>Dano del modulo fotovoltaico que puede existir aun cuando el empaque de la tarima este integro por fuera. Obliga a inspeccion mas alla de la revision externa del empaque.</w:t>
            </w:r>
          </w:p>
        </w:tc>
      </w:tr>
      <w:tr>
        <w:tc>
          <w:tcPr>
            <w:tcW w:type="dxa" w:w="2856"/>
          </w:tcPr>
          <w:p>
            <w:r/>
            <w:r>
              <w:rPr>
                <w:rFonts w:ascii="Calibri" w:hAnsi="Calibri"/>
                <w:b w:val="0"/>
                <w:sz w:val="19"/>
              </w:rPr>
              <w:t>FOR-ALM-01</w:t>
            </w:r>
          </w:p>
        </w:tc>
        <w:tc>
          <w:tcPr>
            <w:tcW w:type="dxa" w:w="7344"/>
          </w:tcPr>
          <w:p>
            <w:r/>
            <w:r>
              <w:rPr>
                <w:rFonts w:ascii="Calibri" w:hAnsi="Calibri"/>
                <w:b w:val="0"/>
                <w:sz w:val="19"/>
              </w:rPr>
              <w:t>Formato de Recepcion e Inspeccion de Material que soporta el conteo, la inspeccion por tipo de producto y la conformacion del packing list.</w:t>
            </w:r>
          </w:p>
        </w:tc>
      </w:tr>
      <w:tr>
        <w:tc>
          <w:tcPr>
            <w:tcW w:type="dxa" w:w="2856"/>
          </w:tcPr>
          <w:p>
            <w:r/>
            <w:r>
              <w:rPr>
                <w:rFonts w:ascii="Calibri" w:hAnsi="Calibri"/>
                <w:b w:val="0"/>
                <w:sz w:val="19"/>
              </w:rPr>
              <w:t>FOR-ALM-03</w:t>
            </w:r>
          </w:p>
        </w:tc>
        <w:tc>
          <w:tcPr>
            <w:tcW w:type="dxa" w:w="7344"/>
          </w:tcPr>
          <w:p>
            <w:r/>
            <w:r>
              <w:rPr>
                <w:rFonts w:ascii="Calibri" w:hAnsi="Calibri"/>
                <w:b w:val="0"/>
                <w:sz w:val="19"/>
              </w:rPr>
              <w:t>Formato de Reporte de No Conformidad de Recepcion en el que se registra toda discrepancia detectada al ingreso, el mismo dia.</w:t>
            </w:r>
          </w:p>
        </w:tc>
      </w:tr>
    </w:tbl>
    <w:p>
      <w:pPr>
        <w:keepNext/>
        <w:spacing w:before="240" w:after="80"/>
        <w:pBdr>
          <w:bottom w:val="single" w:sz="8" w:color="F0E528"/>
        </w:pBdr>
      </w:pPr>
      <w:r>
        <w:rPr>
          <w:rFonts w:ascii="Georgia" w:hAnsi="Georgia"/>
          <w:b/>
          <w:color w:val="0056B4"/>
          <w:sz w:val="22"/>
        </w:rPr>
        <w:t>4. DOCUMENTOS DE REFERENCIA</w:t>
      </w:r>
    </w:p>
    <w:p>
      <w:pPr>
        <w:pStyle w:val="ListBullet"/>
      </w:pPr>
      <w:r>
        <w:rPr>
          <w:rFonts w:ascii="Calibri" w:hAnsi="Calibri"/>
          <w:sz w:val="20"/>
        </w:rPr>
        <w:t>ISO 9001:2015, clausula 8.4 Control de los procesos, productos y servicios suministrados externamente</w:t>
      </w:r>
    </w:p>
    <w:p>
      <w:pPr>
        <w:pStyle w:val="ListBullet"/>
      </w:pPr>
      <w:r>
        <w:rPr>
          <w:rFonts w:ascii="Calibri" w:hAnsi="Calibri"/>
          <w:sz w:val="20"/>
        </w:rPr>
        <w:t>ISO 9001:2015, clausula 8.5.4 Preservacion</w:t>
      </w:r>
    </w:p>
    <w:p>
      <w:pPr>
        <w:pStyle w:val="ListBullet"/>
      </w:pPr>
      <w:r>
        <w:rPr>
          <w:rFonts w:ascii="Calibri" w:hAnsi="Calibri"/>
          <w:sz w:val="20"/>
        </w:rPr>
        <w:t>ISO 9001:2015, clausula 8.7 Control de las salidas no conformes</w:t>
      </w:r>
    </w:p>
    <w:p>
      <w:pPr>
        <w:pStyle w:val="ListBullet"/>
      </w:pPr>
      <w:r>
        <w:rPr>
          <w:rFonts w:ascii="Calibri" w:hAnsi="Calibri"/>
          <w:sz w:val="20"/>
        </w:rPr>
        <w:t>SOL-PROC-001 Control de Documentos y Registros del SGC SolarPro</w:t>
      </w:r>
    </w:p>
    <w:p>
      <w:pPr>
        <w:pStyle w:val="ListBullet"/>
      </w:pPr>
      <w:r>
        <w:rPr>
          <w:rFonts w:ascii="Calibri" w:hAnsi="Calibri"/>
          <w:sz w:val="20"/>
        </w:rPr>
        <w:t>Proceso de Compras y registro en Bind (frontera de entrada a inventario). [Por validar con SolarPro] codigo del procedimiento documentado de Compras</w:t>
      </w:r>
    </w:p>
    <w:p>
      <w:pPr>
        <w:pStyle w:val="ListBullet"/>
      </w:pPr>
      <w:r>
        <w:rPr>
          <w:rFonts w:ascii="Calibri" w:hAnsi="Calibri"/>
          <w:sz w:val="20"/>
        </w:rPr>
        <w:t>PRO-ING-04 Encendido y revision electrica (frontera tecnica)</w:t>
      </w:r>
    </w:p>
    <w:p>
      <w:pPr>
        <w:pStyle w:val="ListBullet"/>
      </w:pPr>
      <w:r>
        <w:rPr>
          <w:rFonts w:ascii="Calibri" w:hAnsi="Calibri"/>
          <w:sz w:val="20"/>
        </w:rPr>
        <w:t>PRO-PVM Postventa y retrabajo por defectos de instalacion (frontera de defectos)</w:t>
      </w:r>
    </w:p>
    <w:p>
      <w:pPr>
        <w:pStyle w:val="ListBullet"/>
      </w:pPr>
      <w:r>
        <w:rPr>
          <w:rFonts w:ascii="Calibri" w:hAnsi="Calibri"/>
          <w:sz w:val="20"/>
        </w:rPr>
        <w:t>FOR-ALM-01 Recepcion e Inspeccion de Material</w:t>
      </w:r>
    </w:p>
    <w:p>
      <w:pPr>
        <w:pStyle w:val="ListBullet"/>
      </w:pPr>
      <w:r>
        <w:rPr>
          <w:rFonts w:ascii="Calibri" w:hAnsi="Calibri"/>
          <w:sz w:val="20"/>
        </w:rPr>
        <w:t>FOR-ALM-03 Reporte de No Conformidad de Recepcion</w:t>
      </w:r>
    </w:p>
    <w:p>
      <w:pPr>
        <w:keepNext/>
        <w:spacing w:before="240" w:after="80"/>
        <w:pBdr>
          <w:bottom w:val="single" w:sz="8" w:color="F0E528"/>
        </w:pBdr>
      </w:pPr>
      <w:r>
        <w:rPr>
          <w:rFonts w:ascii="Georgia" w:hAnsi="Georgia"/>
          <w:b/>
          <w:color w:val="0056B4"/>
          <w:sz w:val="22"/>
        </w:rPr>
        <w:t>5. RESPONSABILIDADES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3060"/>
            <w:shd w:val="clear" w:fill="0056B4"/>
          </w:tcPr>
          <w:p>
            <w:pPr>
              <w:jc w:val="center"/>
            </w:pPr>
            <w:r/>
            <w:r>
              <w:rPr>
                <w:rFonts w:ascii="Calibri" w:hAnsi="Calibri"/>
                <w:b/>
                <w:color w:val="FFFFFF"/>
                <w:sz w:val="17"/>
              </w:rPr>
              <w:t>Responsable</w:t>
            </w:r>
          </w:p>
        </w:tc>
        <w:tc>
          <w:tcPr>
            <w:tcW w:type="dxa" w:w="7140"/>
            <w:shd w:val="clear" w:fill="0056B4"/>
          </w:tcPr>
          <w:p>
            <w:pPr>
              <w:jc w:val="center"/>
            </w:pPr>
            <w:r/>
            <w:r>
              <w:rPr>
                <w:rFonts w:ascii="Calibri" w:hAnsi="Calibri"/>
                <w:b/>
                <w:color w:val="FFFFFF"/>
                <w:sz w:val="17"/>
              </w:rPr>
              <w:t>Funciones</w:t>
            </w:r>
          </w:p>
        </w:tc>
      </w:tr>
      <w:tr>
        <w:tc>
          <w:tcPr>
            <w:tcW w:type="dxa" w:w="3060"/>
          </w:tcPr>
          <w:p>
            <w:r/>
            <w:r>
              <w:rPr>
                <w:rFonts w:ascii="Calibri" w:hAnsi="Calibri"/>
                <w:b w:val="0"/>
                <w:sz w:val="19"/>
              </w:rPr>
              <w:t>Responsable de Almacen</w:t>
            </w:r>
          </w:p>
        </w:tc>
        <w:tc>
          <w:tcPr>
            <w:tcW w:type="dxa" w:w="7140"/>
          </w:tcPr>
          <w:p>
            <w:r/>
            <w:r>
              <w:rPr>
                <w:rFonts w:ascii="Calibri" w:hAnsi="Calibri"/>
                <w:b w:val="0"/>
                <w:sz w:val="19"/>
              </w:rPr>
              <w:t>Recibir el material por cualquiera de las tres vias de recepcion.  ·  Contar cada partida y contrastarla contra la documentacion del proveedor.  ·  Inspeccionar la condicion fisica de paneles, inversores, estructura y material electrico.  ·  Registrar toda no conformidad en FOR-ALM-03 el mismo dia.  ·  Conformar y entregar el packing list verificado (FOR-ALM-01) a Compras.  ·  Resguardar el material aceptado en condiciones de preservacion adecuadas.</w:t>
            </w:r>
          </w:p>
        </w:tc>
      </w:tr>
      <w:tr>
        <w:tc>
          <w:tcPr>
            <w:tcW w:type="dxa" w:w="3060"/>
          </w:tcPr>
          <w:p>
            <w:r/>
            <w:r>
              <w:rPr>
                <w:rFonts w:ascii="Calibri" w:hAnsi="Calibri"/>
                <w:b w:val="0"/>
                <w:sz w:val="19"/>
              </w:rPr>
              <w:t>Compras (Lety)</w:t>
            </w:r>
          </w:p>
        </w:tc>
        <w:tc>
          <w:tcPr>
            <w:tcW w:type="dxa" w:w="7140"/>
          </w:tcPr>
          <w:p>
            <w:r/>
            <w:r>
              <w:rPr>
                <w:rFonts w:ascii="Calibri" w:hAnsi="Calibri"/>
                <w:b w:val="0"/>
                <w:sz w:val="19"/>
              </w:rPr>
              <w:t>Recibir el packing list verificado de Almacen.  ·  Realizar el alta y registro del material en el sistema Bind.  ·  Gestionar con el proveedor la reclamacion derivada de una no conformidad de recepcion.  ·  Definir con Almacen el alcance para la captura de serie o lote en Bind cuando se habilite. [Por validar con SolarPro]</w:t>
            </w:r>
          </w:p>
        </w:tc>
      </w:tr>
      <w:tr>
        <w:tc>
          <w:tcPr>
            <w:tcW w:type="dxa" w:w="3060"/>
          </w:tcPr>
          <w:p>
            <w:r/>
            <w:r>
              <w:rPr>
                <w:rFonts w:ascii="Calibri" w:hAnsi="Calibri"/>
                <w:b w:val="0"/>
                <w:sz w:val="19"/>
              </w:rPr>
              <w:t>Ingenieria</w:t>
            </w:r>
          </w:p>
        </w:tc>
        <w:tc>
          <w:tcPr>
            <w:tcW w:type="dxa" w:w="7140"/>
          </w:tcPr>
          <w:p>
            <w:r/>
            <w:r>
              <w:rPr>
                <w:rFonts w:ascii="Calibri" w:hAnsi="Calibri"/>
                <w:b w:val="0"/>
                <w:sz w:val="19"/>
              </w:rPr>
              <w:t>Recibir de Almacen cualquier hallazgo de dano que requiera evaluacion tecnica antes de instalacion. [Por validar con SolarPro]  ·  Ejecutar la revision electrica y el encendido conforme a PRO-ING-04, fuera del alcance de este procedimiento.</w:t>
            </w:r>
          </w:p>
        </w:tc>
      </w:tr>
      <w:tr>
        <w:tc>
          <w:tcPr>
            <w:tcW w:type="dxa" w:w="3060"/>
          </w:tcPr>
          <w:p>
            <w:r/>
            <w:r>
              <w:rPr>
                <w:rFonts w:ascii="Calibri" w:hAnsi="Calibri"/>
                <w:b w:val="0"/>
                <w:sz w:val="19"/>
              </w:rPr>
              <w:t>Postventa</w:t>
            </w:r>
          </w:p>
        </w:tc>
        <w:tc>
          <w:tcPr>
            <w:tcW w:type="dxa" w:w="7140"/>
          </w:tcPr>
          <w:p>
            <w:r/>
            <w:r>
              <w:rPr>
                <w:rFonts w:ascii="Calibri" w:hAnsi="Calibri"/>
                <w:b w:val="0"/>
                <w:sz w:val="19"/>
              </w:rPr>
              <w:t>Atender el retrabajo por defectos de instalacion conforme a PRO-PVM.  ·  Recibir de Almacen los datos del caso cuando un dano se identifique como atribuible a instalacion y no a recepcion.</w:t>
            </w:r>
          </w:p>
        </w:tc>
      </w:tr>
    </w:tbl>
    <w:p>
      <w:pPr>
        <w:keepNext/>
        <w:spacing w:before="240" w:after="80"/>
        <w:pBdr>
          <w:bottom w:val="single" w:sz="8" w:color="F0E528"/>
        </w:pBdr>
      </w:pPr>
      <w:r>
        <w:rPr>
          <w:rFonts w:ascii="Georgia" w:hAnsi="Georgia"/>
          <w:b/>
          <w:color w:val="0056B4"/>
          <w:sz w:val="22"/>
        </w:rPr>
        <w:t>6. POLÍTICAS Y LINEAMIENTOS</w:t>
      </w:r>
    </w:p>
    <w:p>
      <w:pPr>
        <w:spacing w:after="100"/>
      </w:pPr>
      <w:r>
        <w:rPr>
          <w:b/>
          <w:color w:val="0056B4"/>
          <w:sz w:val="20"/>
        </w:rPr>
        <w:t xml:space="preserve">Toda recepcion se cuenta partida por partida. </w:t>
      </w:r>
      <w:r>
        <w:rPr>
          <w:rFonts w:ascii="Calibri" w:hAnsi="Calibri"/>
          <w:sz w:val="20"/>
        </w:rPr>
        <w:t>Ningun material se acepta sin haber contado fisicamente cada partida y contrastarla contra la documentacion del proveedor. El conteo es la unica base valida para conformar el packing list, porque un alta en Bind con cantidades no verificadas propaga el error a todo el inventario disponible y al despacho posterior.</w:t>
      </w:r>
    </w:p>
    <w:p>
      <w:pPr>
        <w:spacing w:after="100"/>
      </w:pPr>
      <w:r>
        <w:rPr>
          <w:b/>
          <w:color w:val="0056B4"/>
          <w:sz w:val="20"/>
        </w:rPr>
        <w:t xml:space="preserve">La inspeccion no se detiene en el empaque. </w:t>
      </w:r>
      <w:r>
        <w:rPr>
          <w:rFonts w:ascii="Calibri" w:hAnsi="Calibri"/>
          <w:sz w:val="20"/>
        </w:rPr>
        <w:t>Un empaque integro por fuera no acredita producto sano. Se han detectado paneles con fractura interna dentro de tarimas sin dano externo. Por eso la inspeccion de paneles incluye revision del modulo mas alla del embalaje de la tarima, y no solo la condicion visible del cartel o el plastico.</w:t>
      </w:r>
    </w:p>
    <w:p>
      <w:pPr>
        <w:spacing w:after="100"/>
      </w:pPr>
      <w:r>
        <w:rPr>
          <w:b/>
          <w:color w:val="0056B4"/>
          <w:sz w:val="20"/>
        </w:rPr>
        <w:t xml:space="preserve">Frontera con Compras y Bind. </w:t>
      </w:r>
      <w:r>
        <w:rPr>
          <w:rFonts w:ascii="Calibri" w:hAnsi="Calibri"/>
          <w:sz w:val="20"/>
        </w:rPr>
        <w:t>Almacen verifica, inspecciona y entrega el packing list; Compras (Lety) realiza el alta y registro en Bind. Almacen no captura en Bind. Esta separacion mantiene una unica fuente de verdad para el inventario y evita dobles altas o altas sin verificacion fisica.</w:t>
      </w:r>
    </w:p>
    <w:p>
      <w:pPr>
        <w:spacing w:after="100"/>
      </w:pPr>
      <w:r>
        <w:rPr>
          <w:b/>
          <w:color w:val="0056B4"/>
          <w:sz w:val="20"/>
        </w:rPr>
        <w:t xml:space="preserve">Frontera con Ingenieria y Postventa. </w:t>
      </w:r>
      <w:r>
        <w:rPr>
          <w:rFonts w:ascii="Calibri" w:hAnsi="Calibri"/>
          <w:sz w:val="20"/>
        </w:rPr>
        <w:t>Almacen no evalua desempeno electrico ni realiza encendido; eso corresponde a Ingenieria (PRO-ING-04). El retrabajo por defecto de instalacion corresponde a Postventa (PRO-PVM). Almacen limita su inspeccion a cantidad y condicion fisica al ingreso, y canaliza lo demas al proceso dueno.</w:t>
      </w:r>
    </w:p>
    <w:p>
      <w:pPr>
        <w:spacing w:after="100"/>
      </w:pPr>
      <w:r>
        <w:rPr>
          <w:b/>
          <w:color w:val="0056B4"/>
          <w:sz w:val="20"/>
        </w:rPr>
        <w:t xml:space="preserve">La no conformidad se registra el mismo dia. </w:t>
      </w:r>
      <w:r>
        <w:rPr>
          <w:rFonts w:ascii="Calibri" w:hAnsi="Calibri"/>
          <w:sz w:val="20"/>
        </w:rPr>
        <w:t>Toda discrepancia de recepcion (faltante, sobrante, dano o producto equivocado) se documenta en FOR-ALM-03 el mismo dia en que se detecta. Registrarla despues diluye la trazabilidad frente al proveedor y debilita la reclamacion, en especial en danos que el proveedor puede atribuir a manejo posterior.</w:t>
      </w:r>
    </w:p>
    <w:p>
      <w:pPr>
        <w:spacing w:after="100"/>
      </w:pPr>
      <w:r>
        <w:rPr>
          <w:b/>
          <w:color w:val="0056B4"/>
          <w:sz w:val="20"/>
        </w:rPr>
        <w:t xml:space="preserve">Trazabilidad de serie y ubicacion como deber ser. </w:t>
      </w:r>
      <w:r>
        <w:rPr>
          <w:rFonts w:ascii="Calibri" w:hAnsi="Calibri"/>
          <w:sz w:val="20"/>
        </w:rPr>
        <w:t>Hoy en Bind solo se registra la cantidad y no se controla el numero de serie de paneles ni inversores. El deber ser es capturar serie o lote y ubicacion. Mientras la captura de serie en Bind no este habilitada por Compras, Almacen deja constancia de esta limitacion. [Por validar con SolarPro] alcance y responsable de la captura de serie.</w:t>
      </w:r>
    </w:p>
    <w:p>
      <w:pPr>
        <w:spacing w:after="100"/>
      </w:pPr>
      <w:r>
        <w:rPr>
          <w:b/>
          <w:color w:val="0056B4"/>
          <w:sz w:val="20"/>
        </w:rPr>
        <w:t xml:space="preserve">Ningun despacho ocurre sin pedido. </w:t>
      </w:r>
      <w:r>
        <w:rPr>
          <w:rFonts w:ascii="Calibri" w:hAnsi="Calibri"/>
          <w:sz w:val="20"/>
        </w:rPr>
        <w:t>El material recibido queda disponible para despacho unicamente contra pedido. Almacen no libera producto por solicitud verbal ni por adelanto, para no descuadrar el inventario que Compras controla en Bind.</w:t>
      </w:r>
    </w:p>
    <w:p>
      <w:pPr>
        <w:spacing w:after="100"/>
      </w:pPr>
      <w:r>
        <w:rPr>
          <w:b/>
          <w:color w:val="0056B4"/>
          <w:sz w:val="20"/>
        </w:rPr>
        <w:t xml:space="preserve">Preservacion del material recibido. </w:t>
      </w:r>
      <w:r>
        <w:rPr>
          <w:rFonts w:ascii="Calibri" w:hAnsi="Calibri"/>
          <w:sz w:val="20"/>
        </w:rPr>
        <w:t>El material aceptado se resguarda de forma que no sufra dano posterior al ingreso (apilamiento, humedad, golpes), conforme a la clausula 8.5.4. La preservacion protege la inversion ya inspeccionada y evita que un dano posterior se confunda con un dano de origen del proveedor.</w:t>
      </w:r>
    </w:p>
    <w:p>
      <w:pPr>
        <w:spacing w:after="100"/>
      </w:pPr>
      <w:r>
        <w:rPr>
          <w:b/>
          <w:color w:val="0056B4"/>
          <w:sz w:val="20"/>
        </w:rPr>
        <w:t xml:space="preserve">Confianza Bind contra fisico y su verificacion. </w:t>
      </w:r>
      <w:r>
        <w:rPr>
          <w:rFonts w:ascii="Calibri" w:hAnsi="Calibri"/>
          <w:sz w:val="20"/>
        </w:rPr>
        <w:t>La confianza declarada entre Bind y el fisico es alta, pero se sostiene solo si cada entrada nace de un conteo verificado. La disciplina de conteo e inspeccion al ingreso es lo que sostiene esa confianza; no se asume, se verifica en cada recepcion.</w:t>
      </w:r>
    </w:p>
    <w:p>
      <w:pPr>
        <w:keepNext/>
        <w:spacing w:before="240" w:after="80"/>
        <w:pBdr>
          <w:bottom w:val="single" w:sz="8" w:color="F0E528"/>
        </w:pBdr>
      </w:pPr>
      <w:r>
        <w:rPr>
          <w:rFonts w:ascii="Georgia" w:hAnsi="Georgia"/>
          <w:b/>
          <w:color w:val="0056B4"/>
          <w:sz w:val="22"/>
        </w:rPr>
        <w:t>7. DESARROLLO DEL PROCEDIMIENTO</w:t>
      </w:r>
    </w:p>
    <w:p>
      <w:pPr>
        <w:spacing w:after="80"/>
      </w:pPr>
      <w:r>
        <w:rPr>
          <w:rFonts w:ascii="Calibri" w:hAnsi="Calibri"/>
          <w:color w:val="1C242E"/>
          <w:sz w:val="20"/>
        </w:rPr>
        <w:t>El procedimiento se ejecuta cada vez que ingresa material a Almacen SolarPro, sin importar la via de recepcion. La secuencia es constante: identificar la entrega y su documentacion, contar cada partida, inspeccionar la condicion fisica por tipo de producto, registrar de inmediato cualquier no conformidad, y conformar el packing list que se entrega a Compras para la entrada a Bind. La frontera del proceso termina en esa entrega; el alta en Bind es responsabilidad de Compras.</w:t>
      </w:r>
    </w:p>
    <w:p>
      <w:pPr>
        <w:spacing w:before="160" w:after="60"/>
      </w:pPr>
      <w:r>
        <w:rPr>
          <w:b/>
          <w:color w:val="1C242E"/>
          <w:sz w:val="21"/>
        </w:rPr>
        <w:t>Fase 1. Arribo y validacion documental</w:t>
      </w:r>
    </w:p>
    <w:p>
      <w:pPr>
        <w:spacing w:after="60"/>
        <w:ind w:left="340"/>
      </w:pPr>
      <w:r>
        <w:rPr>
          <w:rFonts w:ascii="Calibri" w:hAnsi="Calibri"/>
          <w:i/>
          <w:color w:val="595959"/>
          <w:sz w:val="19"/>
        </w:rPr>
        <w:t>Recibir la entrega por la via que corresponda e identificar la documentacion del proveedor (factura, remision o guia de paqueteria) contra la cual se contara.</w:t>
      </w:r>
    </w:p>
    <w:p>
      <w:pPr>
        <w:spacing w:after="60"/>
        <w:ind w:left="340"/>
      </w:pPr>
      <w:r>
        <w:rPr>
          <w:b/>
          <w:sz w:val="20"/>
        </w:rPr>
        <w:t xml:space="preserve">1. Identificar la via de recepcion </w:t>
      </w:r>
      <w:r>
        <w:rPr>
          <w:rFonts w:ascii="Calibri" w:hAnsi="Calibri"/>
          <w:sz w:val="20"/>
        </w:rPr>
        <w:t>· Registrar si el material llega por recoleccion con el proveedor, por envio a matriz o a bodega Sierra Azul, o por paqueteria a domicilio, y anotarlo en FOR-ALM-01.</w:t>
      </w:r>
    </w:p>
    <w:p>
      <w:pPr>
        <w:spacing w:after="20"/>
        <w:ind w:left="680"/>
      </w:pPr>
      <w:r>
        <w:rPr>
          <w:b/>
          <w:color w:val="595959"/>
          <w:sz w:val="18"/>
        </w:rPr>
        <w:t xml:space="preserve">Responsable: </w:t>
      </w:r>
      <w:r>
        <w:rPr>
          <w:rFonts w:ascii="Calibri" w:hAnsi="Calibri"/>
          <w:color w:val="595959"/>
          <w:sz w:val="18"/>
        </w:rPr>
        <w:t>Responsable de Almacen</w:t>
      </w:r>
    </w:p>
    <w:p>
      <w:pPr>
        <w:spacing w:after="20"/>
        <w:ind w:left="680"/>
      </w:pPr>
      <w:r>
        <w:rPr>
          <w:b/>
          <w:color w:val="595959"/>
          <w:sz w:val="18"/>
        </w:rPr>
        <w:t xml:space="preserve">Formato: </w:t>
      </w:r>
      <w:r>
        <w:rPr>
          <w:rFonts w:ascii="Calibri" w:hAnsi="Calibri"/>
          <w:color w:val="595959"/>
          <w:sz w:val="18"/>
        </w:rPr>
        <w:t>FOR-ALM-01</w:t>
      </w:r>
    </w:p>
    <w:p>
      <w:pPr>
        <w:spacing w:after="20"/>
        <w:ind w:left="680"/>
      </w:pPr>
      <w:r>
        <w:rPr>
          <w:b/>
          <w:color w:val="595959"/>
          <w:sz w:val="18"/>
        </w:rPr>
        <w:t xml:space="preserve">Interfaz: </w:t>
      </w:r>
      <w:r>
        <w:rPr>
          <w:rFonts w:ascii="Calibri" w:hAnsi="Calibri"/>
          <w:color w:val="595959"/>
          <w:sz w:val="18"/>
        </w:rPr>
        <w:t>La via condiciona el momento del conteo, pero el conteo es obligatorio en las tres.</w:t>
      </w:r>
    </w:p>
    <w:p>
      <w:pPr>
        <w:spacing w:after="60"/>
        <w:ind w:left="340"/>
      </w:pPr>
      <w:r>
        <w:rPr>
          <w:b/>
          <w:sz w:val="20"/>
        </w:rPr>
        <w:t xml:space="preserve">2. Cotejar documentacion del proveedor </w:t>
      </w:r>
      <w:r>
        <w:rPr>
          <w:rFonts w:ascii="Calibri" w:hAnsi="Calibri"/>
          <w:sz w:val="20"/>
        </w:rPr>
        <w:t>· Verificar que la entrega venga acompanada de factura, remision o guia con el detalle de partidas. Si falta documentacion, se documenta como observacion antes de continuar.</w:t>
      </w:r>
    </w:p>
    <w:p>
      <w:pPr>
        <w:spacing w:after="20"/>
        <w:ind w:left="680"/>
      </w:pPr>
      <w:r>
        <w:rPr>
          <w:b/>
          <w:color w:val="595959"/>
          <w:sz w:val="18"/>
        </w:rPr>
        <w:t xml:space="preserve">Responsable: </w:t>
      </w:r>
      <w:r>
        <w:rPr>
          <w:rFonts w:ascii="Calibri" w:hAnsi="Calibri"/>
          <w:color w:val="595959"/>
          <w:sz w:val="18"/>
        </w:rPr>
        <w:t>Responsable de Almacen</w:t>
      </w:r>
    </w:p>
    <w:p>
      <w:pPr>
        <w:spacing w:after="20"/>
        <w:ind w:left="680"/>
      </w:pPr>
      <w:r>
        <w:rPr>
          <w:b/>
          <w:color w:val="595959"/>
          <w:sz w:val="18"/>
        </w:rPr>
        <w:t xml:space="preserve">Registro: </w:t>
      </w:r>
      <w:r>
        <w:rPr>
          <w:rFonts w:ascii="Calibri" w:hAnsi="Calibri"/>
          <w:color w:val="595959"/>
          <w:sz w:val="18"/>
        </w:rPr>
        <w:t>Documentacion del proveedor referida en FOR-ALM-01</w:t>
      </w:r>
    </w:p>
    <w:p>
      <w:pPr>
        <w:spacing w:after="20"/>
        <w:ind w:left="680"/>
      </w:pPr>
      <w:r>
        <w:rPr>
          <w:b/>
          <w:color w:val="595959"/>
          <w:sz w:val="18"/>
        </w:rPr>
        <w:t xml:space="preserve">Control: </w:t>
      </w:r>
      <w:r>
        <w:rPr>
          <w:rFonts w:ascii="Calibri" w:hAnsi="Calibri"/>
          <w:color w:val="595959"/>
          <w:sz w:val="18"/>
        </w:rPr>
        <w:t>Sin documento de partidas no se puede validar el conteo; se escala a Compras.</w:t>
      </w:r>
    </w:p>
    <w:p>
      <w:pPr>
        <w:spacing w:before="160" w:after="60"/>
      </w:pPr>
      <w:r>
        <w:rPr>
          <w:b/>
          <w:color w:val="1C242E"/>
          <w:sz w:val="21"/>
        </w:rPr>
        <w:t>Fase 2. Verificacion por conteo</w:t>
      </w:r>
    </w:p>
    <w:p>
      <w:pPr>
        <w:spacing w:after="60"/>
        <w:ind w:left="340"/>
      </w:pPr>
      <w:r>
        <w:rPr>
          <w:rFonts w:ascii="Calibri" w:hAnsi="Calibri"/>
          <w:i/>
          <w:color w:val="595959"/>
          <w:sz w:val="19"/>
        </w:rPr>
        <w:t>Contar fisicamente cada partida y contrastarla contra la cantidad declarada por el proveedor.</w:t>
      </w:r>
    </w:p>
    <w:p>
      <w:pPr>
        <w:spacing w:after="60"/>
        <w:ind w:left="340"/>
      </w:pPr>
      <w:r>
        <w:rPr>
          <w:b/>
          <w:sz w:val="20"/>
        </w:rPr>
        <w:t xml:space="preserve">3. Contar cada partida </w:t>
      </w:r>
      <w:r>
        <w:rPr>
          <w:rFonts w:ascii="Calibri" w:hAnsi="Calibri"/>
          <w:sz w:val="20"/>
        </w:rPr>
        <w:t>· Contar de forma independiente cada renglon (paneles, inversores, estructura, material electrico) y anotar la cantidad fisica real en FOR-ALM-01 junto a la cantidad declarada.</w:t>
      </w:r>
    </w:p>
    <w:p>
      <w:pPr>
        <w:spacing w:after="20"/>
        <w:ind w:left="680"/>
      </w:pPr>
      <w:r>
        <w:rPr>
          <w:b/>
          <w:color w:val="595959"/>
          <w:sz w:val="18"/>
        </w:rPr>
        <w:t xml:space="preserve">Responsable: </w:t>
      </w:r>
      <w:r>
        <w:rPr>
          <w:rFonts w:ascii="Calibri" w:hAnsi="Calibri"/>
          <w:color w:val="595959"/>
          <w:sz w:val="18"/>
        </w:rPr>
        <w:t>Responsable de Almacen</w:t>
      </w:r>
    </w:p>
    <w:p>
      <w:pPr>
        <w:spacing w:after="20"/>
        <w:ind w:left="680"/>
      </w:pPr>
      <w:r>
        <w:rPr>
          <w:b/>
          <w:color w:val="595959"/>
          <w:sz w:val="18"/>
        </w:rPr>
        <w:t xml:space="preserve">Formato: </w:t>
      </w:r>
      <w:r>
        <w:rPr>
          <w:rFonts w:ascii="Calibri" w:hAnsi="Calibri"/>
          <w:color w:val="595959"/>
          <w:sz w:val="18"/>
        </w:rPr>
        <w:t>FOR-ALM-01</w:t>
      </w:r>
    </w:p>
    <w:p>
      <w:pPr>
        <w:spacing w:after="20"/>
        <w:ind w:left="680"/>
      </w:pPr>
      <w:r>
        <w:rPr>
          <w:b/>
          <w:color w:val="595959"/>
          <w:sz w:val="18"/>
        </w:rPr>
        <w:t xml:space="preserve">Control: </w:t>
      </w:r>
      <w:r>
        <w:rPr>
          <w:rFonts w:ascii="Calibri" w:hAnsi="Calibri"/>
          <w:color w:val="595959"/>
          <w:sz w:val="18"/>
        </w:rPr>
        <w:t>El conteo es partida por partida, no por bulto ni por tarima cerrada.</w:t>
      </w:r>
    </w:p>
    <w:p>
      <w:pPr>
        <w:spacing w:after="60"/>
        <w:ind w:left="340"/>
      </w:pPr>
      <w:r>
        <w:rPr>
          <w:b/>
          <w:sz w:val="20"/>
        </w:rPr>
        <w:t xml:space="preserve">4. Detectar faltantes o sobrantes </w:t>
      </w:r>
      <w:r>
        <w:rPr>
          <w:rFonts w:ascii="Calibri" w:hAnsi="Calibri"/>
          <w:sz w:val="20"/>
        </w:rPr>
        <w:t>· Comparar cantidad fisica contra declarada. Cualquier diferencia es una no conformidad de recepcion que pasa a la Fase 4 el mismo dia.</w:t>
      </w:r>
    </w:p>
    <w:p>
      <w:pPr>
        <w:spacing w:after="20"/>
        <w:ind w:left="680"/>
      </w:pPr>
      <w:r>
        <w:rPr>
          <w:b/>
          <w:color w:val="595959"/>
          <w:sz w:val="18"/>
        </w:rPr>
        <w:t xml:space="preserve">Responsable: </w:t>
      </w:r>
      <w:r>
        <w:rPr>
          <w:rFonts w:ascii="Calibri" w:hAnsi="Calibri"/>
          <w:color w:val="595959"/>
          <w:sz w:val="18"/>
        </w:rPr>
        <w:t>Responsable de Almacen</w:t>
      </w:r>
    </w:p>
    <w:p>
      <w:pPr>
        <w:spacing w:after="20"/>
        <w:ind w:left="680"/>
      </w:pPr>
      <w:r>
        <w:rPr>
          <w:b/>
          <w:color w:val="595959"/>
          <w:sz w:val="18"/>
        </w:rPr>
        <w:t xml:space="preserve">Registro: </w:t>
      </w:r>
      <w:r>
        <w:rPr>
          <w:rFonts w:ascii="Calibri" w:hAnsi="Calibri"/>
          <w:color w:val="595959"/>
          <w:sz w:val="18"/>
        </w:rPr>
        <w:t>FOR-ALM-03 si hay discrepancia</w:t>
      </w:r>
    </w:p>
    <w:p>
      <w:pPr>
        <w:spacing w:after="20"/>
        <w:ind w:left="680"/>
      </w:pPr>
      <w:r>
        <w:rPr>
          <w:b/>
          <w:color w:val="595959"/>
          <w:sz w:val="18"/>
        </w:rPr>
        <w:t xml:space="preserve">Frontera: </w:t>
      </w:r>
      <w:r>
        <w:rPr>
          <w:rFonts w:ascii="Calibri" w:hAnsi="Calibri"/>
          <w:color w:val="595959"/>
          <w:sz w:val="18"/>
        </w:rPr>
        <w:t>El ajuste en Bind lo hara Compras a partir del packing list, no Almacen.</w:t>
      </w:r>
    </w:p>
    <w:p>
      <w:pPr>
        <w:spacing w:before="160" w:after="60"/>
      </w:pPr>
      <w:r>
        <w:rPr>
          <w:b/>
          <w:color w:val="1C242E"/>
          <w:sz w:val="21"/>
        </w:rPr>
        <w:t>Fase 3. Inspeccion de condicion fisica</w:t>
      </w:r>
    </w:p>
    <w:p>
      <w:pPr>
        <w:spacing w:after="60"/>
        <w:ind w:left="340"/>
      </w:pPr>
      <w:r>
        <w:rPr>
          <w:rFonts w:ascii="Calibri" w:hAnsi="Calibri"/>
          <w:i/>
          <w:color w:val="595959"/>
          <w:sz w:val="19"/>
        </w:rPr>
        <w:t>Inspeccionar el estado del producto por tipo, incluyendo la revision del modulo de panel mas alla del empaque.</w:t>
      </w:r>
    </w:p>
    <w:p>
      <w:pPr>
        <w:spacing w:after="60"/>
        <w:ind w:left="340"/>
      </w:pPr>
      <w:r>
        <w:rPr>
          <w:b/>
          <w:sz w:val="20"/>
        </w:rPr>
        <w:t xml:space="preserve">5. Inspeccionar paneles </w:t>
      </w:r>
      <w:r>
        <w:rPr>
          <w:rFonts w:ascii="Calibri" w:hAnsi="Calibri"/>
          <w:sz w:val="20"/>
        </w:rPr>
        <w:t>· Revisar el empaque de la tarima y ademas el estado de los modulos, dado que puede existir fractura interna con empaque integro por fuera. Documentar hallazgos en FOR-ALM-01.</w:t>
      </w:r>
    </w:p>
    <w:p>
      <w:pPr>
        <w:spacing w:after="20"/>
        <w:ind w:left="680"/>
      </w:pPr>
      <w:r>
        <w:rPr>
          <w:b/>
          <w:color w:val="595959"/>
          <w:sz w:val="18"/>
        </w:rPr>
        <w:t xml:space="preserve">Responsable: </w:t>
      </w:r>
      <w:r>
        <w:rPr>
          <w:rFonts w:ascii="Calibri" w:hAnsi="Calibri"/>
          <w:color w:val="595959"/>
          <w:sz w:val="18"/>
        </w:rPr>
        <w:t>Responsable de Almacen</w:t>
      </w:r>
    </w:p>
    <w:p>
      <w:pPr>
        <w:spacing w:after="20"/>
        <w:ind w:left="680"/>
      </w:pPr>
      <w:r>
        <w:rPr>
          <w:b/>
          <w:color w:val="595959"/>
          <w:sz w:val="18"/>
        </w:rPr>
        <w:t xml:space="preserve">Formato: </w:t>
      </w:r>
      <w:r>
        <w:rPr>
          <w:rFonts w:ascii="Calibri" w:hAnsi="Calibri"/>
          <w:color w:val="595959"/>
          <w:sz w:val="18"/>
        </w:rPr>
        <w:t>FOR-ALM-01</w:t>
      </w:r>
    </w:p>
    <w:p>
      <w:pPr>
        <w:spacing w:after="20"/>
        <w:ind w:left="680"/>
      </w:pPr>
      <w:r>
        <w:rPr>
          <w:b/>
          <w:color w:val="595959"/>
          <w:sz w:val="18"/>
        </w:rPr>
        <w:t xml:space="preserve">Control: </w:t>
      </w:r>
      <w:r>
        <w:rPr>
          <w:rFonts w:ascii="Calibri" w:hAnsi="Calibri"/>
          <w:color w:val="595959"/>
          <w:sz w:val="18"/>
        </w:rPr>
        <w:t>Empaque integro no acredita panel sano; se inspecciona el modulo.</w:t>
      </w:r>
    </w:p>
    <w:p>
      <w:pPr>
        <w:spacing w:after="60"/>
        <w:ind w:left="340"/>
      </w:pPr>
      <w:r>
        <w:rPr>
          <w:b/>
          <w:sz w:val="20"/>
        </w:rPr>
        <w:t xml:space="preserve">6. Inspeccionar inversor, estructura y material electrico </w:t>
      </w:r>
      <w:r>
        <w:rPr>
          <w:rFonts w:ascii="Calibri" w:hAnsi="Calibri"/>
          <w:sz w:val="20"/>
        </w:rPr>
        <w:t>· Verificar ausencia de golpes, deformacion o dano en inversores, estructura y material electrico. Registrar condicion de cada tipo.</w:t>
      </w:r>
    </w:p>
    <w:p>
      <w:pPr>
        <w:spacing w:after="20"/>
        <w:ind w:left="680"/>
      </w:pPr>
      <w:r>
        <w:rPr>
          <w:b/>
          <w:color w:val="595959"/>
          <w:sz w:val="18"/>
        </w:rPr>
        <w:t xml:space="preserve">Responsable: </w:t>
      </w:r>
      <w:r>
        <w:rPr>
          <w:rFonts w:ascii="Calibri" w:hAnsi="Calibri"/>
          <w:color w:val="595959"/>
          <w:sz w:val="18"/>
        </w:rPr>
        <w:t>Responsable de Almacen</w:t>
      </w:r>
    </w:p>
    <w:p>
      <w:pPr>
        <w:spacing w:after="20"/>
        <w:ind w:left="680"/>
      </w:pPr>
      <w:r>
        <w:rPr>
          <w:b/>
          <w:color w:val="595959"/>
          <w:sz w:val="18"/>
        </w:rPr>
        <w:t xml:space="preserve">Formato: </w:t>
      </w:r>
      <w:r>
        <w:rPr>
          <w:rFonts w:ascii="Calibri" w:hAnsi="Calibri"/>
          <w:color w:val="595959"/>
          <w:sz w:val="18"/>
        </w:rPr>
        <w:t>FOR-ALM-01</w:t>
      </w:r>
    </w:p>
    <w:p>
      <w:pPr>
        <w:spacing w:after="20"/>
        <w:ind w:left="680"/>
      </w:pPr>
      <w:r>
        <w:rPr>
          <w:b/>
          <w:color w:val="595959"/>
          <w:sz w:val="18"/>
        </w:rPr>
        <w:t xml:space="preserve">Interfaz: </w:t>
      </w:r>
      <w:r>
        <w:rPr>
          <w:rFonts w:ascii="Calibri" w:hAnsi="Calibri"/>
          <w:color w:val="595959"/>
          <w:sz w:val="18"/>
        </w:rPr>
        <w:t>Cualquier duda de desempeno electrico se canaliza a Ingenieria (PRO-ING-04); Almacen no prueba encendido.</w:t>
      </w:r>
    </w:p>
    <w:p>
      <w:pPr>
        <w:spacing w:before="160" w:after="60"/>
      </w:pPr>
      <w:r>
        <w:rPr>
          <w:b/>
          <w:color w:val="1C242E"/>
          <w:sz w:val="21"/>
        </w:rPr>
        <w:t>Fase 4. Registro de no conformidad</w:t>
      </w:r>
    </w:p>
    <w:p>
      <w:pPr>
        <w:spacing w:after="60"/>
        <w:ind w:left="340"/>
      </w:pPr>
      <w:r>
        <w:rPr>
          <w:rFonts w:ascii="Calibri" w:hAnsi="Calibri"/>
          <w:i/>
          <w:color w:val="595959"/>
          <w:sz w:val="19"/>
        </w:rPr>
        <w:t>Documentar toda discrepancia de conteo o inspeccion en FOR-ALM-03 el mismo dia en que se detecta.</w:t>
      </w:r>
    </w:p>
    <w:p>
      <w:pPr>
        <w:spacing w:after="60"/>
        <w:ind w:left="340"/>
      </w:pPr>
      <w:r>
        <w:rPr>
          <w:b/>
          <w:sz w:val="20"/>
        </w:rPr>
        <w:t xml:space="preserve">7. Levantar el reporte de NC </w:t>
      </w:r>
      <w:r>
        <w:rPr>
          <w:rFonts w:ascii="Calibri" w:hAnsi="Calibri"/>
          <w:sz w:val="20"/>
        </w:rPr>
        <w:t>· Registrar en FOR-ALM-03 el tipo de discrepancia (faltante, sobrante, dano, producto equivocado), la partida afectada, la cantidad y la evidencia fotografica.</w:t>
      </w:r>
    </w:p>
    <w:p>
      <w:pPr>
        <w:spacing w:after="20"/>
        <w:ind w:left="680"/>
      </w:pPr>
      <w:r>
        <w:rPr>
          <w:b/>
          <w:color w:val="595959"/>
          <w:sz w:val="18"/>
        </w:rPr>
        <w:t xml:space="preserve">Responsable: </w:t>
      </w:r>
      <w:r>
        <w:rPr>
          <w:rFonts w:ascii="Calibri" w:hAnsi="Calibri"/>
          <w:color w:val="595959"/>
          <w:sz w:val="18"/>
        </w:rPr>
        <w:t>Responsable de Almacen</w:t>
      </w:r>
    </w:p>
    <w:p>
      <w:pPr>
        <w:spacing w:after="20"/>
        <w:ind w:left="680"/>
      </w:pPr>
      <w:r>
        <w:rPr>
          <w:b/>
          <w:color w:val="595959"/>
          <w:sz w:val="18"/>
        </w:rPr>
        <w:t xml:space="preserve">Formato: </w:t>
      </w:r>
      <w:r>
        <w:rPr>
          <w:rFonts w:ascii="Calibri" w:hAnsi="Calibri"/>
          <w:color w:val="595959"/>
          <w:sz w:val="18"/>
        </w:rPr>
        <w:t>FOR-ALM-03</w:t>
      </w:r>
    </w:p>
    <w:p>
      <w:pPr>
        <w:spacing w:after="20"/>
        <w:ind w:left="680"/>
      </w:pPr>
      <w:r>
        <w:rPr>
          <w:b/>
          <w:color w:val="595959"/>
          <w:sz w:val="18"/>
        </w:rPr>
        <w:t xml:space="preserve">Control: </w:t>
      </w:r>
      <w:r>
        <w:rPr>
          <w:rFonts w:ascii="Calibri" w:hAnsi="Calibri"/>
          <w:color w:val="595959"/>
          <w:sz w:val="18"/>
        </w:rPr>
        <w:t>El registro es el mismo dia; no se difiere al dia siguiente.</w:t>
      </w:r>
    </w:p>
    <w:p>
      <w:pPr>
        <w:spacing w:after="60"/>
        <w:ind w:left="340"/>
      </w:pPr>
      <w:r>
        <w:rPr>
          <w:b/>
          <w:sz w:val="20"/>
        </w:rPr>
        <w:t xml:space="preserve">8. Canalizar la NC </w:t>
      </w:r>
      <w:r>
        <w:rPr>
          <w:rFonts w:ascii="Calibri" w:hAnsi="Calibri"/>
          <w:sz w:val="20"/>
        </w:rPr>
        <w:t>· Entregar la NC a Compras para la reclamacion con el proveedor. Si el dano se identifica como de instalacion y no de recepcion, se pasan los datos a Postventa.</w:t>
      </w:r>
    </w:p>
    <w:p>
      <w:pPr>
        <w:spacing w:after="20"/>
        <w:ind w:left="680"/>
      </w:pPr>
      <w:r>
        <w:rPr>
          <w:b/>
          <w:color w:val="595959"/>
          <w:sz w:val="18"/>
        </w:rPr>
        <w:t xml:space="preserve">Responsable: </w:t>
      </w:r>
      <w:r>
        <w:rPr>
          <w:rFonts w:ascii="Calibri" w:hAnsi="Calibri"/>
          <w:color w:val="595959"/>
          <w:sz w:val="18"/>
        </w:rPr>
        <w:t>Responsable de Almacen</w:t>
      </w:r>
    </w:p>
    <w:p>
      <w:pPr>
        <w:spacing w:after="20"/>
        <w:ind w:left="680"/>
      </w:pPr>
      <w:r>
        <w:rPr>
          <w:b/>
          <w:color w:val="595959"/>
          <w:sz w:val="18"/>
        </w:rPr>
        <w:t xml:space="preserve">Registro: </w:t>
      </w:r>
      <w:r>
        <w:rPr>
          <w:rFonts w:ascii="Calibri" w:hAnsi="Calibri"/>
          <w:color w:val="595959"/>
          <w:sz w:val="18"/>
        </w:rPr>
        <w:t>FOR-ALM-03</w:t>
      </w:r>
    </w:p>
    <w:p>
      <w:pPr>
        <w:spacing w:after="20"/>
        <w:ind w:left="680"/>
      </w:pPr>
      <w:r>
        <w:rPr>
          <w:b/>
          <w:color w:val="595959"/>
          <w:sz w:val="18"/>
        </w:rPr>
        <w:t xml:space="preserve">Frontera: </w:t>
      </w:r>
      <w:r>
        <w:rPr>
          <w:rFonts w:ascii="Calibri" w:hAnsi="Calibri"/>
          <w:color w:val="595959"/>
          <w:sz w:val="18"/>
        </w:rPr>
        <w:t>La reclamacion al proveedor la gestiona Compras; el retrabajo de instalacion lo atiende Postventa (PRO-PVM).</w:t>
      </w:r>
    </w:p>
    <w:p>
      <w:pPr>
        <w:spacing w:before="160" w:after="60"/>
      </w:pPr>
      <w:r>
        <w:rPr>
          <w:b/>
          <w:color w:val="1C242E"/>
          <w:sz w:val="21"/>
        </w:rPr>
        <w:t>Fase 5. Conformacion y entrega del packing list</w:t>
      </w:r>
    </w:p>
    <w:p>
      <w:pPr>
        <w:spacing w:after="60"/>
        <w:ind w:left="340"/>
      </w:pPr>
      <w:r>
        <w:rPr>
          <w:rFonts w:ascii="Calibri" w:hAnsi="Calibri"/>
          <w:i/>
          <w:color w:val="595959"/>
          <w:sz w:val="19"/>
        </w:rPr>
        <w:t>Conformar el packing list verificado y entregarlo a Compras para la entrada a Bind, resguardando el material aceptado.</w:t>
      </w:r>
    </w:p>
    <w:p>
      <w:pPr>
        <w:spacing w:after="60"/>
        <w:ind w:left="340"/>
      </w:pPr>
      <w:r>
        <w:rPr>
          <w:b/>
          <w:sz w:val="20"/>
        </w:rPr>
        <w:t xml:space="preserve">9. Conformar packing list </w:t>
      </w:r>
      <w:r>
        <w:rPr>
          <w:rFonts w:ascii="Calibri" w:hAnsi="Calibri"/>
          <w:sz w:val="20"/>
        </w:rPr>
        <w:t>· Consolidar en FOR-ALM-01 las cantidades verificadas y la condicion de cada partida, dejando constancia de las NC asociadas.</w:t>
      </w:r>
    </w:p>
    <w:p>
      <w:pPr>
        <w:spacing w:after="20"/>
        <w:ind w:left="680"/>
      </w:pPr>
      <w:r>
        <w:rPr>
          <w:b/>
          <w:color w:val="595959"/>
          <w:sz w:val="18"/>
        </w:rPr>
        <w:t xml:space="preserve">Responsable: </w:t>
      </w:r>
      <w:r>
        <w:rPr>
          <w:rFonts w:ascii="Calibri" w:hAnsi="Calibri"/>
          <w:color w:val="595959"/>
          <w:sz w:val="18"/>
        </w:rPr>
        <w:t>Responsable de Almacen</w:t>
      </w:r>
    </w:p>
    <w:p>
      <w:pPr>
        <w:spacing w:after="20"/>
        <w:ind w:left="680"/>
      </w:pPr>
      <w:r>
        <w:rPr>
          <w:b/>
          <w:color w:val="595959"/>
          <w:sz w:val="18"/>
        </w:rPr>
        <w:t xml:space="preserve">Formato: </w:t>
      </w:r>
      <w:r>
        <w:rPr>
          <w:rFonts w:ascii="Calibri" w:hAnsi="Calibri"/>
          <w:color w:val="595959"/>
          <w:sz w:val="18"/>
        </w:rPr>
        <w:t>FOR-ALM-01</w:t>
      </w:r>
    </w:p>
    <w:p>
      <w:pPr>
        <w:spacing w:after="20"/>
        <w:ind w:left="680"/>
      </w:pPr>
      <w:r>
        <w:rPr>
          <w:b/>
          <w:color w:val="595959"/>
          <w:sz w:val="18"/>
        </w:rPr>
        <w:t xml:space="preserve">Control: </w:t>
      </w:r>
      <w:r>
        <w:rPr>
          <w:rFonts w:ascii="Calibri" w:hAnsi="Calibri"/>
          <w:color w:val="595959"/>
          <w:sz w:val="18"/>
        </w:rPr>
        <w:t>El packing list refleja lo fisicamente verificado, no lo declarado por el proveedor.</w:t>
      </w:r>
    </w:p>
    <w:p>
      <w:pPr>
        <w:spacing w:after="60"/>
        <w:ind w:left="340"/>
      </w:pPr>
      <w:r>
        <w:rPr>
          <w:b/>
          <w:sz w:val="20"/>
        </w:rPr>
        <w:t xml:space="preserve">10. Entregar a Compras y resguardar material </w:t>
      </w:r>
      <w:r>
        <w:rPr>
          <w:rFonts w:ascii="Calibri" w:hAnsi="Calibri"/>
          <w:sz w:val="20"/>
        </w:rPr>
        <w:t>· Entregar el packing list a Compras (Lety) para el alta en Bind y resguardar el material aceptado en condiciones de preservacion.</w:t>
      </w:r>
    </w:p>
    <w:p>
      <w:pPr>
        <w:spacing w:after="20"/>
        <w:ind w:left="680"/>
      </w:pPr>
      <w:r>
        <w:rPr>
          <w:b/>
          <w:color w:val="595959"/>
          <w:sz w:val="18"/>
        </w:rPr>
        <w:t xml:space="preserve">Responsable: </w:t>
      </w:r>
      <w:r>
        <w:rPr>
          <w:rFonts w:ascii="Calibri" w:hAnsi="Calibri"/>
          <w:color w:val="595959"/>
          <w:sz w:val="18"/>
        </w:rPr>
        <w:t>Responsable de Almacen</w:t>
      </w:r>
    </w:p>
    <w:p>
      <w:pPr>
        <w:spacing w:after="20"/>
        <w:ind w:left="680"/>
      </w:pPr>
      <w:r>
        <w:rPr>
          <w:b/>
          <w:color w:val="595959"/>
          <w:sz w:val="18"/>
        </w:rPr>
        <w:t xml:space="preserve">Frontera: </w:t>
      </w:r>
      <w:r>
        <w:rPr>
          <w:rFonts w:ascii="Calibri" w:hAnsi="Calibri"/>
          <w:color w:val="595959"/>
          <w:sz w:val="18"/>
        </w:rPr>
        <w:t>El alta y registro en Bind los hace Compras; Almacen no captura en Bind.</w:t>
      </w:r>
    </w:p>
    <w:p>
      <w:pPr>
        <w:spacing w:after="20"/>
        <w:ind w:left="680"/>
      </w:pPr>
      <w:r>
        <w:rPr>
          <w:b/>
          <w:color w:val="595959"/>
          <w:sz w:val="18"/>
        </w:rPr>
        <w:t xml:space="preserve">Control: </w:t>
      </w:r>
      <w:r>
        <w:rPr>
          <w:rFonts w:ascii="Calibri" w:hAnsi="Calibri"/>
          <w:color w:val="595959"/>
          <w:sz w:val="18"/>
        </w:rPr>
        <w:t>Preservacion conforme a clausula 8.5.4 hasta el despacho contra pedido.</w:t>
      </w:r>
    </w:p>
    <w:p>
      <w:pPr>
        <w:keepNext/>
        <w:spacing w:before="240" w:after="80"/>
        <w:pBdr>
          <w:bottom w:val="single" w:sz="8" w:color="F0E528"/>
        </w:pBdr>
      </w:pPr>
      <w:r>
        <w:rPr>
          <w:rFonts w:ascii="Georgia" w:hAnsi="Georgia"/>
          <w:b/>
          <w:color w:val="0056B4"/>
          <w:sz w:val="22"/>
        </w:rPr>
        <w:t>9. REGISTROS Y FORMATOS ASOCIADOS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5100"/>
        <w:gridCol w:w="5100"/>
      </w:tblGrid>
      <w:tr>
        <w:tc>
          <w:tcPr>
            <w:tcW w:type="dxa" w:w="2856"/>
            <w:shd w:val="clear" w:fill="0056B4"/>
          </w:tcPr>
          <w:p>
            <w:pPr>
              <w:jc w:val="center"/>
            </w:pPr>
            <w:r/>
            <w:r>
              <w:rPr>
                <w:rFonts w:ascii="Calibri" w:hAnsi="Calibri"/>
                <w:b/>
                <w:color w:val="FFFFFF"/>
                <w:sz w:val="17"/>
              </w:rPr>
              <w:t>Código</w:t>
            </w:r>
          </w:p>
        </w:tc>
        <w:tc>
          <w:tcPr>
            <w:tcW w:type="dxa" w:w="7344"/>
            <w:shd w:val="clear" w:fill="0056B4"/>
          </w:tcPr>
          <w:p>
            <w:pPr>
              <w:jc w:val="center"/>
            </w:pPr>
            <w:r/>
            <w:r>
              <w:rPr>
                <w:rFonts w:ascii="Calibri" w:hAnsi="Calibri"/>
                <w:b/>
                <w:color w:val="FFFFFF"/>
                <w:sz w:val="17"/>
              </w:rPr>
              <w:t>Formato</w:t>
            </w:r>
          </w:p>
        </w:tc>
      </w:tr>
      <w:tr>
        <w:tc>
          <w:tcPr>
            <w:tcW w:type="dxa" w:w="2856"/>
          </w:tcPr>
          <w:p>
            <w:r/>
            <w:r>
              <w:rPr>
                <w:rFonts w:ascii="Calibri" w:hAnsi="Calibri"/>
                <w:b w:val="0"/>
                <w:sz w:val="19"/>
              </w:rPr>
              <w:t>FOR-ALM-01</w:t>
            </w:r>
          </w:p>
        </w:tc>
        <w:tc>
          <w:tcPr>
            <w:tcW w:type="dxa" w:w="7344"/>
          </w:tcPr>
          <w:p>
            <w:r/>
            <w:r>
              <w:rPr>
                <w:rFonts w:ascii="Calibri" w:hAnsi="Calibri"/>
                <w:b w:val="0"/>
                <w:sz w:val="19"/>
              </w:rPr>
              <w:t>Recepcion e Inspeccion de Material</w:t>
            </w:r>
          </w:p>
        </w:tc>
      </w:tr>
      <w:tr>
        <w:tc>
          <w:tcPr>
            <w:tcW w:type="dxa" w:w="2856"/>
          </w:tcPr>
          <w:p>
            <w:r/>
            <w:r>
              <w:rPr>
                <w:rFonts w:ascii="Calibri" w:hAnsi="Calibri"/>
                <w:b w:val="0"/>
                <w:sz w:val="19"/>
              </w:rPr>
              <w:t>FOR-ALM-03</w:t>
            </w:r>
          </w:p>
        </w:tc>
        <w:tc>
          <w:tcPr>
            <w:tcW w:type="dxa" w:w="7344"/>
          </w:tcPr>
          <w:p>
            <w:r/>
            <w:r>
              <w:rPr>
                <w:rFonts w:ascii="Calibri" w:hAnsi="Calibri"/>
                <w:b w:val="0"/>
                <w:sz w:val="19"/>
              </w:rPr>
              <w:t>Reporte de No Conformidad de Recepcion</w:t>
            </w:r>
          </w:p>
        </w:tc>
      </w:tr>
    </w:tbl>
    <w:p>
      <w:pPr>
        <w:keepNext/>
        <w:spacing w:before="240" w:after="80"/>
        <w:pBdr>
          <w:bottom w:val="single" w:sz="8" w:color="F0E528"/>
        </w:pBdr>
      </w:pPr>
      <w:r>
        <w:rPr>
          <w:rFonts w:ascii="Georgia" w:hAnsi="Georgia"/>
          <w:b/>
          <w:color w:val="0056B4"/>
          <w:sz w:val="22"/>
        </w:rPr>
        <w:t>10. CONTROL DE CAMBIOS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550"/>
        <w:gridCol w:w="2550"/>
        <w:gridCol w:w="2550"/>
        <w:gridCol w:w="2550"/>
      </w:tblGrid>
      <w:tr>
        <w:tc>
          <w:tcPr>
            <w:tcW w:type="dxa" w:w="1224"/>
            <w:shd w:val="clear" w:fill="0056B4"/>
          </w:tcPr>
          <w:p>
            <w:pPr>
              <w:jc w:val="center"/>
            </w:pPr>
            <w:r/>
            <w:r>
              <w:rPr>
                <w:rFonts w:ascii="Calibri" w:hAnsi="Calibri"/>
                <w:b/>
                <w:color w:val="FFFFFF"/>
                <w:sz w:val="17"/>
              </w:rPr>
              <w:t>Versión</w:t>
            </w:r>
          </w:p>
        </w:tc>
        <w:tc>
          <w:tcPr>
            <w:tcW w:type="dxa" w:w="1632"/>
            <w:shd w:val="clear" w:fill="0056B4"/>
          </w:tcPr>
          <w:p>
            <w:pPr>
              <w:jc w:val="center"/>
            </w:pPr>
            <w:r/>
            <w:r>
              <w:rPr>
                <w:rFonts w:ascii="Calibri" w:hAnsi="Calibri"/>
                <w:b/>
                <w:color w:val="FFFFFF"/>
                <w:sz w:val="17"/>
              </w:rPr>
              <w:t>Fecha</w:t>
            </w:r>
          </w:p>
        </w:tc>
        <w:tc>
          <w:tcPr>
            <w:tcW w:type="dxa" w:w="5712"/>
            <w:shd w:val="clear" w:fill="0056B4"/>
          </w:tcPr>
          <w:p>
            <w:pPr>
              <w:jc w:val="center"/>
            </w:pPr>
            <w:r/>
            <w:r>
              <w:rPr>
                <w:rFonts w:ascii="Calibri" w:hAnsi="Calibri"/>
                <w:b/>
                <w:color w:val="FFFFFF"/>
                <w:sz w:val="17"/>
              </w:rPr>
              <w:t>Descripción del cambio</w:t>
            </w:r>
          </w:p>
        </w:tc>
        <w:tc>
          <w:tcPr>
            <w:tcW w:type="dxa" w:w="1632"/>
            <w:shd w:val="clear" w:fill="0056B4"/>
          </w:tcPr>
          <w:p>
            <w:pPr>
              <w:jc w:val="center"/>
            </w:pPr>
            <w:r/>
            <w:r>
              <w:rPr>
                <w:rFonts w:ascii="Calibri" w:hAnsi="Calibri"/>
                <w:b/>
                <w:color w:val="FFFFFF"/>
                <w:sz w:val="17"/>
              </w:rPr>
              <w:t>Elaboró</w:t>
            </w:r>
          </w:p>
        </w:tc>
      </w:tr>
      <w:tr>
        <w:tc>
          <w:tcPr>
            <w:tcW w:type="dxa" w:w="1224"/>
          </w:tcPr>
          <w:p>
            <w:r/>
            <w:r>
              <w:rPr>
                <w:rFonts w:ascii="Calibri" w:hAnsi="Calibri"/>
                <w:b w:val="0"/>
                <w:sz w:val="19"/>
              </w:rPr>
              <w:t>1.0</w:t>
            </w:r>
          </w:p>
        </w:tc>
        <w:tc>
          <w:tcPr>
            <w:tcW w:type="dxa" w:w="1632"/>
          </w:tcPr>
          <w:p>
            <w:r/>
            <w:r>
              <w:rPr>
                <w:rFonts w:ascii="Calibri" w:hAnsi="Calibri"/>
                <w:b w:val="0"/>
                <w:sz w:val="19"/>
              </w:rPr>
              <w:t>Septiembre 2026</w:t>
            </w:r>
          </w:p>
        </w:tc>
        <w:tc>
          <w:tcPr>
            <w:tcW w:type="dxa" w:w="5712"/>
          </w:tcPr>
          <w:p>
            <w:r/>
            <w:r>
              <w:rPr>
                <w:rFonts w:ascii="Calibri" w:hAnsi="Calibri"/>
                <w:b w:val="0"/>
                <w:sz w:val="19"/>
              </w:rPr>
              <w:t>Emision inicial del procedimiento de recepcion, inspeccion y entrada a inventario del area de Almacen.</w:t>
            </w:r>
          </w:p>
        </w:tc>
        <w:tc>
          <w:tcPr>
            <w:tcW w:type="dxa" w:w="1632"/>
          </w:tcPr>
          <w:p>
            <w:r/>
            <w:r>
              <w:rPr>
                <w:rFonts w:ascii="Calibri" w:hAnsi="Calibri"/>
                <w:b w:val="0"/>
                <w:sz w:val="19"/>
              </w:rPr>
              <w:t>DETA Consultores</w:t>
            </w:r>
          </w:p>
        </w:tc>
      </w:tr>
    </w:tbl>
    <w:p>
      <w:pPr>
        <w:keepNext/>
        <w:spacing w:before="240" w:after="80"/>
        <w:pBdr>
          <w:bottom w:val="single" w:sz="8" w:color="F0E528"/>
        </w:pBdr>
      </w:pPr>
      <w:r>
        <w:rPr>
          <w:rFonts w:ascii="Georgia" w:hAnsi="Georgia"/>
          <w:b/>
          <w:color w:val="0056B4"/>
          <w:sz w:val="22"/>
        </w:rPr>
        <w:t>11. CONTROL DE FIRMAS</w:t>
      </w:r>
    </w:p>
    <w:p>
      <w:pPr>
        <w:spacing w:after="120"/>
      </w:pPr>
    </w:p>
    <w:p>
      <w:pPr>
        <w:keepNext/>
        <w:spacing w:after="320"/>
      </w:pPr>
    </w:p>
    <w:tbl>
      <w:tblPr>
        <w:tblW w:type="auto" w:w="0"/>
        <w:tblLook w:firstColumn="1" w:firstRow="1" w:lastColumn="0" w:lastRow="0" w:noHBand="0" w:noVBand="1" w:val="04A0"/>
      </w:tblPr>
      <w:tblGrid>
        <w:gridCol w:w="3400"/>
        <w:gridCol w:w="3400"/>
        <w:gridCol w:w="3400"/>
      </w:tblGrid>
      <w:tr>
        <w:tc>
          <w:tcPr>
            <w:tcW w:type="dxa" w:w="3400"/>
          </w:tcPr>
          <w:p>
            <w:pPr>
              <w:jc w:val="center"/>
            </w:pPr>
            <w:r/>
            <w:r>
              <w:rPr>
                <w:sz w:val="20"/>
              </w:rPr>
              <w:t>__________________________</w:t>
            </w:r>
          </w:p>
        </w:tc>
        <w:tc>
          <w:tcPr>
            <w:tcW w:type="dxa" w:w="3400"/>
          </w:tcPr>
          <w:p>
            <w:pPr>
              <w:jc w:val="center"/>
            </w:pPr>
            <w:r/>
            <w:r>
              <w:rPr>
                <w:sz w:val="20"/>
              </w:rPr>
              <w:t>__________________________</w:t>
            </w:r>
          </w:p>
        </w:tc>
        <w:tc>
          <w:tcPr>
            <w:tcW w:type="dxa" w:w="3400"/>
          </w:tcPr>
          <w:p>
            <w:pPr>
              <w:jc w:val="center"/>
            </w:pPr>
            <w:r/>
            <w:r>
              <w:rPr>
                <w:sz w:val="20"/>
              </w:rPr>
              <w:t>__________________________</w:t>
            </w:r>
          </w:p>
        </w:tc>
      </w:tr>
      <w:tr>
        <w:tc>
          <w:tcPr>
            <w:tcW w:type="dxa" w:w="3400"/>
          </w:tcPr>
          <w:p>
            <w:pPr>
              <w:jc w:val="center"/>
            </w:pPr>
            <w:r/>
            <w:r>
              <w:rPr>
                <w:rFonts w:ascii="Calibri" w:hAnsi="Calibri"/>
                <w:b w:val="0"/>
                <w:color w:val="595959"/>
                <w:sz w:val="17"/>
              </w:rPr>
              <w:t>Elaboró</w:t>
              <w:br/>
              <w:t>DETA Consultores</w:t>
            </w:r>
          </w:p>
        </w:tc>
        <w:tc>
          <w:tcPr>
            <w:tcW w:type="dxa" w:w="3400"/>
          </w:tcPr>
          <w:p>
            <w:pPr>
              <w:jc w:val="center"/>
            </w:pPr>
            <w:r/>
            <w:r>
              <w:rPr>
                <w:rFonts w:ascii="Calibri" w:hAnsi="Calibri"/>
                <w:b w:val="0"/>
                <w:color w:val="595959"/>
                <w:sz w:val="17"/>
              </w:rPr>
              <w:t>Revisó</w:t>
              <w:br/>
              <w:t>Almacen</w:t>
            </w:r>
          </w:p>
        </w:tc>
        <w:tc>
          <w:tcPr>
            <w:tcW w:type="dxa" w:w="3400"/>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procedimiento · PRO-ALM-01 V1.0</w:t>
    </w:r>
    <w:r>
      <w:tab/>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