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Borders>
          <w:top w:val="single" w:sz="6" w:color="000000"/>
          <w:left w:val="single" w:sz="6" w:color="000000"/>
          <w:bottom w:val="single" w:sz="6" w:color="000000"/>
          <w:right w:val="single" w:sz="6" w:color="000000"/>
          <w:insideH w:val="single" w:sz="6" w:color="000000"/>
          <w:insideV w:val="single" w:sz="6" w:color="000000"/>
        </w:tblBorders>
      </w:tblPr>
      <w:tblGrid>
        <w:gridCol w:w="2550"/>
        <w:gridCol w:w="2550"/>
        <w:gridCol w:w="2550"/>
        <w:gridCol w:w="2550"/>
      </w:tblGrid>
      <w:tr>
        <w:tc>
          <w:tcPr>
            <w:tcW w:type="dxa" w:w="2448"/>
            <w:vMerge w:val="restart"/>
          </w:tcPr>
          <w:p>
            <w:pPr>
              <w:jc w:val="center"/>
            </w:pPr>
            <w:r/>
            <w:r>
              <w:drawing>
                <wp:inline xmlns:a="http://schemas.openxmlformats.org/drawingml/2006/main" xmlns:pic="http://schemas.openxmlformats.org/drawingml/2006/picture">
                  <wp:extent cx="1224000" cy="402171"/>
                  <wp:docPr id="1" name="Picture 1"/>
                  <wp:cNvGraphicFramePr>
                    <a:graphicFrameLocks noChangeAspect="1"/>
                  </wp:cNvGraphicFramePr>
                  <a:graphic>
                    <a:graphicData uri="http://schemas.openxmlformats.org/drawingml/2006/picture">
                      <pic:pic>
                        <pic:nvPicPr>
                          <pic:cNvPr id="0" name="paneles-solares-chihuahua-financiamiento-cotizacion-credito-energia-solar-cibanco-solarpro-sustainable-energy-logo.png"/>
                          <pic:cNvPicPr/>
                        </pic:nvPicPr>
                        <pic:blipFill>
                          <a:blip r:embed="rId10"/>
                          <a:stretch>
                            <a:fillRect/>
                          </a:stretch>
                        </pic:blipFill>
                        <pic:spPr>
                          <a:xfrm>
                            <a:off x="0" y="0"/>
                            <a:ext cx="1224000" cy="402171"/>
                          </a:xfrm>
                          <a:prstGeom prst="rect"/>
                        </pic:spPr>
                      </pic:pic>
                    </a:graphicData>
                  </a:graphic>
                </wp:inline>
              </w:drawing>
            </w:r>
          </w:p>
        </w:tc>
        <w:tc>
          <w:tcPr>
            <w:tcW w:type="dxa" w:w="4080"/>
            <w:vMerge w:val="restart"/>
            <w:shd w:val="clear" w:fill="F2F2F2"/>
          </w:tcPr>
          <w:p>
            <w:pPr>
              <w:jc w:val="center"/>
            </w:pPr>
            <w:r/>
            <w:r>
              <w:rPr>
                <w:rFonts w:ascii="Georgia" w:hAnsi="Georgia"/>
                <w:b/>
                <w:sz w:val="26"/>
              </w:rPr>
              <w:t>Recepción y Calificación de Leads</w:t>
            </w:r>
          </w:p>
        </w:tc>
        <w:tc>
          <w:tcPr>
            <w:tcW w:type="dxa" w:w="1836"/>
          </w:tcPr>
          <w:p>
            <w:r/>
            <w:r>
              <w:rPr>
                <w:rFonts w:ascii="Calibri" w:hAnsi="Calibri"/>
                <w:b/>
                <w:sz w:val="15"/>
              </w:rPr>
              <w:t xml:space="preserve">Código: </w:t>
            </w:r>
            <w:r>
              <w:rPr>
                <w:rFonts w:ascii="Calibri" w:hAnsi="Calibri"/>
                <w:sz w:val="15"/>
              </w:rPr>
              <w:t>PRO-VEN-01</w:t>
            </w:r>
          </w:p>
        </w:tc>
        <w:tc>
          <w:tcPr>
            <w:tcW w:type="dxa" w:w="1836"/>
          </w:tcPr>
          <w:p>
            <w:r/>
            <w:r>
              <w:rPr>
                <w:rFonts w:ascii="Calibri" w:hAnsi="Calibri"/>
                <w:b/>
                <w:sz w:val="15"/>
              </w:rPr>
              <w:t xml:space="preserve">Versión: </w:t>
            </w:r>
            <w:r>
              <w:rPr>
                <w:rFonts w:ascii="Calibri" w:hAnsi="Calibri"/>
                <w:sz w:val="15"/>
              </w:rPr>
              <w:t>1.0</w:t>
            </w:r>
          </w:p>
        </w:tc>
      </w:tr>
      <w:tr>
        <w:tc>
          <w:tcPr>
            <w:tcW w:type="dxa" w:w="2448"/>
            <w:vMerge/>
          </w:tcPr>
          <w:p/>
        </w:tc>
        <w:tc>
          <w:tcPr>
            <w:tcW w:type="dxa" w:w="4080"/>
            <w:vMerge/>
          </w:tcPr>
          <w:p/>
        </w:tc>
        <w:tc>
          <w:tcPr>
            <w:tcW w:type="dxa" w:w="1836"/>
          </w:tcPr>
          <w:p>
            <w:r/>
            <w:r>
              <w:rPr>
                <w:rFonts w:ascii="Calibri" w:hAnsi="Calibri"/>
                <w:b/>
                <w:sz w:val="15"/>
              </w:rPr>
              <w:t xml:space="preserve">Emisión: </w:t>
            </w:r>
            <w:r>
              <w:rPr>
                <w:rFonts w:ascii="Calibri" w:hAnsi="Calibri"/>
                <w:sz w:val="15"/>
              </w:rPr>
              <w:t>Septiembre 2026</w:t>
            </w:r>
          </w:p>
        </w:tc>
        <w:tc>
          <w:tcPr>
            <w:tcW w:type="dxa" w:w="1836"/>
          </w:tcPr>
          <w:p>
            <w:r/>
            <w:r>
              <w:rPr>
                <w:rFonts w:ascii="Calibri" w:hAnsi="Calibri"/>
                <w:b/>
                <w:sz w:val="15"/>
              </w:rPr>
              <w:t xml:space="preserve">Revisión: </w:t>
            </w:r>
            <w:r>
              <w:rPr>
                <w:rFonts w:ascii="Calibri" w:hAnsi="Calibri"/>
                <w:sz w:val="15"/>
              </w:rPr>
              <w:t>Diciembre 2026</w:t>
            </w:r>
          </w:p>
        </w:tc>
      </w:tr>
      <w:tr>
        <w:tc>
          <w:tcPr>
            <w:tcW w:type="dxa" w:w="2448"/>
            <w:vMerge/>
          </w:tcPr>
          <w:p/>
        </w:tc>
        <w:tc>
          <w:tcPr>
            <w:tcW w:type="dxa" w:w="4080"/>
          </w:tcPr>
          <w:p>
            <w:pPr>
              <w:jc w:val="center"/>
            </w:pPr>
            <w:r/>
            <w:r>
              <w:rPr>
                <w:rFonts w:ascii="Calibri" w:hAnsi="Calibri"/>
                <w:b w:val="0"/>
                <w:color w:val="595959"/>
                <w:sz w:val="16"/>
              </w:rPr>
              <w:t>Procedimiento Comercial</w:t>
            </w:r>
          </w:p>
        </w:tc>
        <w:tc>
          <w:tcPr>
            <w:tcW w:type="dxa" w:w="1836"/>
          </w:tcPr>
          <w:p>
            <w:r/>
            <w:r>
              <w:rPr>
                <w:rFonts w:ascii="Calibri" w:hAnsi="Calibri"/>
                <w:b/>
                <w:sz w:val="15"/>
              </w:rPr>
              <w:t xml:space="preserve">Estado: </w:t>
            </w:r>
            <w:r>
              <w:rPr>
                <w:rFonts w:ascii="Calibri" w:hAnsi="Calibri"/>
                <w:sz w:val="15"/>
              </w:rPr>
              <w:t>Borrador para validación</w:t>
            </w:r>
          </w:p>
        </w:tc>
        <w:tc>
          <w:tcPr>
            <w:tcW w:type="dxa" w:w="1836"/>
          </w:tcPr>
          <w:p>
            <w:r/>
            <w:r>
              <w:rPr>
                <w:rFonts w:ascii="Calibri" w:hAnsi="Calibri"/>
                <w:b/>
                <w:sz w:val="15"/>
              </w:rPr>
              <w:t xml:space="preserve">Página: </w:t>
            </w:r>
            <w:r>
              <w:rPr>
                <w:rFonts w:ascii="Calibri" w:hAnsi="Calibri"/>
                <w:sz w:val="15"/>
              </w:rPr>
              <w:fldChar w:fldCharType="begin"/>
            </w:r>
            <w:r>
              <w:rPr>
                <w:rFonts w:ascii="Calibri" w:hAnsi="Calibri"/>
                <w:sz w:val="15"/>
              </w:rPr>
              <w:instrText xml:space="preserve"> PAGE </w:instrText>
            </w:r>
            <w:r>
              <w:fldChar w:fldCharType="separate"/>
            </w:r>
            <w:r>
              <w:rPr>
                <w:rFonts w:ascii="Calibri" w:hAnsi="Calibri"/>
                <w:sz w:val="15"/>
              </w:rPr>
              <w:t>1</w:t>
            </w:r>
            <w:r>
              <w:fldChar w:fldCharType="end"/>
            </w:r>
            <w:r>
              <w:rPr>
                <w:rFonts w:ascii="Calibri" w:hAnsi="Calibri"/>
                <w:sz w:val="15"/>
              </w:rPr>
              <w:t xml:space="preserve"> de </w:t>
            </w:r>
            <w:r>
              <w:rPr>
                <w:rFonts w:ascii="Calibri" w:hAnsi="Calibri"/>
                <w:sz w:val="15"/>
              </w:rPr>
              <w:fldChar w:fldCharType="begin"/>
            </w:r>
            <w:r>
              <w:rPr>
                <w:rFonts w:ascii="Calibri" w:hAnsi="Calibri"/>
                <w:sz w:val="15"/>
              </w:rPr>
              <w:instrText xml:space="preserve"> NUMPAGES </w:instrText>
            </w:r>
            <w:r>
              <w:fldChar w:fldCharType="separate"/>
            </w:r>
            <w:r>
              <w:rPr>
                <w:rFonts w:ascii="Calibri" w:hAnsi="Calibri"/>
                <w:sz w:val="15"/>
              </w:rPr>
              <w:t>1</w:t>
            </w:r>
            <w:r>
              <w:fldChar w:fldCharType="end"/>
            </w:r>
          </w:p>
        </w:tc>
      </w:tr>
      <w:tr>
        <w:tc>
          <w:tcPr>
            <w:tcW w:type="dxa" w:w="2448"/>
            <w:vMerge/>
          </w:tcPr>
          <w:p/>
        </w:tc>
        <w:tc>
          <w:tcPr>
            <w:tcW w:type="dxa" w:w="4080"/>
          </w:tcPr>
          <w:p>
            <w:pPr>
              <w:jc w:val="center"/>
            </w:pPr>
            <w:r/>
            <w:r>
              <w:rPr>
                <w:rFonts w:ascii="Calibri" w:hAnsi="Calibri"/>
                <w:b w:val="0"/>
                <w:color w:val="595959"/>
                <w:sz w:val="16"/>
              </w:rPr>
              <w:t>Cláusula ISO 9001: 8.2.1</w:t>
            </w:r>
          </w:p>
        </w:tc>
        <w:tc>
          <w:tcPr>
            <w:tcW w:type="dxa" w:w="1836"/>
          </w:tcPr>
          <w:p>
            <w:r/>
            <w:r>
              <w:rPr>
                <w:rFonts w:ascii="Calibri" w:hAnsi="Calibri"/>
                <w:b/>
                <w:sz w:val="15"/>
              </w:rPr>
              <w:t xml:space="preserve">Propietario: </w:t>
            </w:r>
            <w:r>
              <w:rPr>
                <w:rFonts w:ascii="Calibri" w:hAnsi="Calibri"/>
                <w:sz w:val="15"/>
              </w:rPr>
              <w:t>Gerencia Comercial</w:t>
            </w:r>
          </w:p>
        </w:tc>
        <w:tc>
          <w:tcPr>
            <w:tcW w:type="dxa" w:w="1836"/>
          </w:tcPr>
          <w:p>
            <w:r/>
            <w:r>
              <w:rPr>
                <w:rFonts w:ascii="Calibri" w:hAnsi="Calibri"/>
                <w:b/>
                <w:sz w:val="15"/>
              </w:rPr>
              <w:t xml:space="preserve">Elaboró: </w:t>
            </w:r>
            <w:r>
              <w:rPr>
                <w:rFonts w:ascii="Calibri" w:hAnsi="Calibri"/>
                <w:sz w:val="15"/>
              </w:rPr>
              <w:t>DETA Consultores</w:t>
            </w:r>
          </w:p>
        </w:tc>
      </w:tr>
    </w:tbl>
    <w:p>
      <w:pPr>
        <w:spacing w:before="40" w:after="160"/>
        <w:pBdr>
          <w:bottom w:val="single" w:sz="18" w:color="F0E528"/>
        </w:pBdr>
      </w:pPr>
    </w:p>
    <w:tbl>
      <w:tblPr>
        <w:tblW w:type="auto" w:w="0"/>
        <w:tblLook w:firstColumn="1" w:firstRow="1" w:lastColumn="0" w:lastRow="0" w:noHBand="0" w:noVBand="1" w:val="04A0"/>
        <w:tblBorders>
          <w:left w:val="single" w:sz="16" w:color="F0E528"/>
        </w:tblBorders>
      </w:tblPr>
      <w:tblGrid>
        <w:gridCol w:w="10200"/>
      </w:tblGrid>
      <w:tr>
        <w:tc>
          <w:tcPr>
            <w:tcW w:type="dxa" w:w="10200"/>
            <w:shd w:val="clear" w:fill="FFF9DB"/>
          </w:tcPr>
          <w:p>
            <w:r/>
            <w:r>
              <w:rPr>
                <w:rFonts w:ascii="Calibri" w:hAnsi="Calibri"/>
                <w:b w:val="0"/>
                <w:color w:val="003D80"/>
                <w:sz w:val="17"/>
              </w:rPr>
              <w:t>Importante: El primer contacto con un lead debe ocurrir en menos de 15 minutos. Todo lead se registra en el CRM con su fuente y, si se pierde, con el motivo de pérdida; sin registro no existe para el embudo.</w:t>
            </w:r>
          </w:p>
        </w:tc>
      </w:tr>
    </w:tbl>
    <w:p>
      <w:pPr>
        <w:spacing w:after="40"/>
      </w:pPr>
    </w:p>
    <w:p>
      <w:pPr>
        <w:keepNext/>
        <w:spacing w:before="240" w:after="80"/>
        <w:pBdr>
          <w:bottom w:val="single" w:sz="8" w:color="F0E528"/>
        </w:pBdr>
      </w:pPr>
      <w:r>
        <w:rPr>
          <w:rFonts w:ascii="Georgia" w:hAnsi="Georgia"/>
          <w:b/>
          <w:color w:val="0056B4"/>
          <w:sz w:val="22"/>
        </w:rPr>
        <w:t>1. OBJETIVO</w:t>
      </w:r>
    </w:p>
    <w:p>
      <w:pPr>
        <w:spacing w:after="120"/>
      </w:pPr>
      <w:r>
        <w:rPr>
          <w:rFonts w:ascii="Calibri" w:hAnsi="Calibri"/>
          <w:color w:val="1C242E"/>
          <w:sz w:val="21"/>
        </w:rPr>
        <w:t>Estandarizar la recepción de leads de los canales digitales, el primer contacto en menos de 15 minutos, la calificación por tipo de proyecto y el registro íntegro en el CRM, para maximizar la conversión del embudo comercial.</w:t>
      </w:r>
    </w:p>
    <w:p>
      <w:pPr>
        <w:keepNext/>
        <w:spacing w:before="240" w:after="80"/>
        <w:pBdr>
          <w:bottom w:val="single" w:sz="8" w:color="F0E528"/>
        </w:pBdr>
      </w:pPr>
      <w:r>
        <w:rPr>
          <w:rFonts w:ascii="Georgia" w:hAnsi="Georgia"/>
          <w:b/>
          <w:color w:val="0056B4"/>
          <w:sz w:val="22"/>
        </w:rPr>
        <w:t>2. ALCANCE</w:t>
      </w:r>
    </w:p>
    <w:p>
      <w:pPr>
        <w:spacing w:after="120"/>
      </w:pPr>
      <w:r>
        <w:rPr>
          <w:rFonts w:ascii="Calibri" w:hAnsi="Calibri"/>
          <w:color w:val="1C242E"/>
          <w:sz w:val="21"/>
        </w:rPr>
        <w:t>Aplica a todo lead que ingresa por los canales digitales de SolarPro (WhatsApp, sitio web y redes sociales). Cubre desde el monitoreo de plataformas hasta la asignación del prospecto calificado al Especialista de Producto.</w:t>
      </w:r>
    </w:p>
    <w:p>
      <w:pPr>
        <w:keepNext/>
        <w:spacing w:before="240" w:after="80"/>
        <w:pBdr>
          <w:bottom w:val="single" w:sz="8" w:color="F0E528"/>
        </w:pBdr>
      </w:pPr>
      <w:r>
        <w:rPr>
          <w:rFonts w:ascii="Georgia" w:hAnsi="Georgia"/>
          <w:b/>
          <w:color w:val="0056B4"/>
          <w:sz w:val="22"/>
        </w:rPr>
        <w:t>3. DEFINICIONES Y ABREVIATURAS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5100"/>
        <w:gridCol w:w="5100"/>
      </w:tblGrid>
      <w:tr>
        <w:tc>
          <w:tcPr>
            <w:tcW w:type="dxa" w:w="2856"/>
            <w:shd w:val="clear" w:fill="0056B4"/>
          </w:tcPr>
          <w:p>
            <w:pPr>
              <w:jc w:val="center"/>
            </w:pPr>
            <w:r/>
            <w:r>
              <w:rPr>
                <w:rFonts w:ascii="Calibri" w:hAnsi="Calibri"/>
                <w:b/>
                <w:color w:val="FFFFFF"/>
                <w:sz w:val="17"/>
              </w:rPr>
              <w:t>Término</w:t>
            </w:r>
          </w:p>
        </w:tc>
        <w:tc>
          <w:tcPr>
            <w:tcW w:type="dxa" w:w="7344"/>
            <w:shd w:val="clear" w:fill="0056B4"/>
          </w:tcPr>
          <w:p>
            <w:pPr>
              <w:jc w:val="center"/>
            </w:pPr>
            <w:r/>
            <w:r>
              <w:rPr>
                <w:rFonts w:ascii="Calibri" w:hAnsi="Calibri"/>
                <w:b/>
                <w:color w:val="FFFFFF"/>
                <w:sz w:val="17"/>
              </w:rPr>
              <w:t>Definición</w:t>
            </w:r>
          </w:p>
        </w:tc>
      </w:tr>
      <w:tr>
        <w:tc>
          <w:tcPr>
            <w:tcW w:type="dxa" w:w="2856"/>
          </w:tcPr>
          <w:p>
            <w:r/>
            <w:r>
              <w:rPr>
                <w:rFonts w:ascii="Calibri" w:hAnsi="Calibri"/>
                <w:b w:val="0"/>
                <w:sz w:val="19"/>
              </w:rPr>
              <w:t>Lead</w:t>
            </w:r>
          </w:p>
        </w:tc>
        <w:tc>
          <w:tcPr>
            <w:tcW w:type="dxa" w:w="7344"/>
          </w:tcPr>
          <w:p>
            <w:r/>
            <w:r>
              <w:rPr>
                <w:rFonts w:ascii="Calibri" w:hAnsi="Calibri"/>
                <w:b w:val="0"/>
                <w:sz w:val="19"/>
              </w:rPr>
              <w:t>Oportunidad que ingresa por un canal digital y aún no ha sido calificada.</w:t>
            </w:r>
          </w:p>
        </w:tc>
      </w:tr>
      <w:tr>
        <w:tc>
          <w:tcPr>
            <w:tcW w:type="dxa" w:w="2856"/>
          </w:tcPr>
          <w:p>
            <w:r/>
            <w:r>
              <w:rPr>
                <w:rFonts w:ascii="Calibri" w:hAnsi="Calibri"/>
                <w:b w:val="0"/>
                <w:sz w:val="19"/>
              </w:rPr>
              <w:t>Speed to lead</w:t>
            </w:r>
          </w:p>
        </w:tc>
        <w:tc>
          <w:tcPr>
            <w:tcW w:type="dxa" w:w="7344"/>
          </w:tcPr>
          <w:p>
            <w:r/>
            <w:r>
              <w:rPr>
                <w:rFonts w:ascii="Calibri" w:hAnsi="Calibri"/>
                <w:b w:val="0"/>
                <w:sz w:val="19"/>
              </w:rPr>
              <w:t>Tiempo entre el ingreso del lead y el primer contacto; el estándar es menos de 15 minutos.</w:t>
            </w:r>
          </w:p>
        </w:tc>
      </w:tr>
      <w:tr>
        <w:tc>
          <w:tcPr>
            <w:tcW w:type="dxa" w:w="2856"/>
          </w:tcPr>
          <w:p>
            <w:r/>
            <w:r>
              <w:rPr>
                <w:rFonts w:ascii="Calibri" w:hAnsi="Calibri"/>
                <w:b w:val="0"/>
                <w:sz w:val="19"/>
              </w:rPr>
              <w:t>CRM</w:t>
            </w:r>
          </w:p>
        </w:tc>
        <w:tc>
          <w:tcPr>
            <w:tcW w:type="dxa" w:w="7344"/>
          </w:tcPr>
          <w:p>
            <w:r/>
            <w:r>
              <w:rPr>
                <w:rFonts w:ascii="Calibri" w:hAnsi="Calibri"/>
                <w:b w:val="0"/>
                <w:sz w:val="19"/>
              </w:rPr>
              <w:t>Sistema de gestión de leads de SolarPro (Nico) donde se registra y da seguimiento a cada oportunidad.</w:t>
            </w:r>
          </w:p>
        </w:tc>
      </w:tr>
    </w:tbl>
    <w:p>
      <w:pPr>
        <w:keepNext/>
        <w:spacing w:before="240" w:after="80"/>
        <w:pBdr>
          <w:bottom w:val="single" w:sz="8" w:color="F0E528"/>
        </w:pBdr>
      </w:pPr>
      <w:r>
        <w:rPr>
          <w:rFonts w:ascii="Georgia" w:hAnsi="Georgia"/>
          <w:b/>
          <w:color w:val="0056B4"/>
          <w:sz w:val="22"/>
        </w:rPr>
        <w:t>4. DOCUMENTOS DE REFERENCIA</w:t>
      </w:r>
    </w:p>
    <w:p>
      <w:pPr>
        <w:pStyle w:val="ListBullet"/>
      </w:pPr>
      <w:r>
        <w:rPr>
          <w:rFonts w:ascii="Calibri" w:hAnsi="Calibri"/>
          <w:sz w:val="20"/>
        </w:rPr>
        <w:t>ISO 9001:2015 cláusula 8.2.1 (comunicación con el cliente)</w:t>
      </w:r>
    </w:p>
    <w:p>
      <w:pPr>
        <w:pStyle w:val="ListBullet"/>
      </w:pPr>
      <w:r>
        <w:rPr>
          <w:rFonts w:ascii="Calibri" w:hAnsi="Calibri"/>
          <w:sz w:val="20"/>
        </w:rPr>
        <w:t>POL-VEN-001 Políticas Comerciales</w:t>
      </w:r>
    </w:p>
    <w:p>
      <w:pPr>
        <w:pStyle w:val="ListBullet"/>
      </w:pPr>
      <w:r>
        <w:rPr>
          <w:rFonts w:ascii="Calibri" w:hAnsi="Calibri"/>
          <w:sz w:val="20"/>
        </w:rPr>
        <w:t>PRO-VEN-02 Cotización y Precotización</w:t>
      </w:r>
    </w:p>
    <w:p>
      <w:pPr>
        <w:keepNext/>
        <w:spacing w:before="240" w:after="80"/>
        <w:pBdr>
          <w:bottom w:val="single" w:sz="8" w:color="F0E528"/>
        </w:pBdr>
      </w:pPr>
      <w:r>
        <w:rPr>
          <w:rFonts w:ascii="Georgia" w:hAnsi="Georgia"/>
          <w:b/>
          <w:color w:val="0056B4"/>
          <w:sz w:val="22"/>
        </w:rPr>
        <w:t>5. RESPONSABILIDADES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5100"/>
        <w:gridCol w:w="5100"/>
      </w:tblGrid>
      <w:tr>
        <w:tc>
          <w:tcPr>
            <w:tcW w:type="dxa" w:w="3060"/>
            <w:shd w:val="clear" w:fill="0056B4"/>
          </w:tcPr>
          <w:p>
            <w:pPr>
              <w:jc w:val="center"/>
            </w:pPr>
            <w:r/>
            <w:r>
              <w:rPr>
                <w:rFonts w:ascii="Calibri" w:hAnsi="Calibri"/>
                <w:b/>
                <w:color w:val="FFFFFF"/>
                <w:sz w:val="17"/>
              </w:rPr>
              <w:t>Responsable</w:t>
            </w:r>
          </w:p>
        </w:tc>
        <w:tc>
          <w:tcPr>
            <w:tcW w:type="dxa" w:w="7140"/>
            <w:shd w:val="clear" w:fill="0056B4"/>
          </w:tcPr>
          <w:p>
            <w:pPr>
              <w:jc w:val="center"/>
            </w:pPr>
            <w:r/>
            <w:r>
              <w:rPr>
                <w:rFonts w:ascii="Calibri" w:hAnsi="Calibri"/>
                <w:b/>
                <w:color w:val="FFFFFF"/>
                <w:sz w:val="17"/>
              </w:rPr>
              <w:t>Funciones</w:t>
            </w:r>
          </w:p>
        </w:tc>
      </w:tr>
      <w:tr>
        <w:tc>
          <w:tcPr>
            <w:tcW w:type="dxa" w:w="3060"/>
          </w:tcPr>
          <w:p>
            <w:r/>
            <w:r>
              <w:rPr>
                <w:rFonts w:ascii="Calibri" w:hAnsi="Calibri"/>
                <w:b w:val="0"/>
                <w:sz w:val="19"/>
              </w:rPr>
              <w:t>Ejecutivo de Atención al Cliente</w:t>
            </w:r>
          </w:p>
        </w:tc>
        <w:tc>
          <w:tcPr>
            <w:tcW w:type="dxa" w:w="7140"/>
          </w:tcPr>
          <w:p>
            <w:r/>
            <w:r>
              <w:rPr>
                <w:rFonts w:ascii="Calibri" w:hAnsi="Calibri"/>
                <w:b w:val="0"/>
                <w:sz w:val="19"/>
              </w:rPr>
              <w:t>Monitorear las plataformas  ·  Contactar al lead en menos de 15 minutos  ·  Calificar la viabilidad y la capacidad de inversión  ·  Sanear el CRM diariamente sin duplicados  ·  Notificar y traspasar el prospecto al Especialista de Producto</w:t>
            </w:r>
          </w:p>
        </w:tc>
      </w:tr>
      <w:tr>
        <w:tc>
          <w:tcPr>
            <w:tcW w:type="dxa" w:w="3060"/>
          </w:tcPr>
          <w:p>
            <w:r/>
            <w:r>
              <w:rPr>
                <w:rFonts w:ascii="Calibri" w:hAnsi="Calibri"/>
                <w:b w:val="0"/>
                <w:sz w:val="19"/>
              </w:rPr>
              <w:t>Gerencia Comercial</w:t>
            </w:r>
          </w:p>
        </w:tc>
        <w:tc>
          <w:tcPr>
            <w:tcW w:type="dxa" w:w="7140"/>
          </w:tcPr>
          <w:p>
            <w:r/>
            <w:r>
              <w:rPr>
                <w:rFonts w:ascii="Calibri" w:hAnsi="Calibri"/>
                <w:b w:val="0"/>
                <w:sz w:val="19"/>
              </w:rPr>
              <w:t>Mediar la reasignación de prospectos  ·  Supervisar la higiene del CRM</w:t>
            </w:r>
          </w:p>
        </w:tc>
      </w:tr>
      <w:tr>
        <w:tc>
          <w:tcPr>
            <w:tcW w:type="dxa" w:w="3060"/>
          </w:tcPr>
          <w:p>
            <w:r/>
            <w:r>
              <w:rPr>
                <w:rFonts w:ascii="Calibri" w:hAnsi="Calibri"/>
                <w:b w:val="0"/>
                <w:sz w:val="19"/>
              </w:rPr>
              <w:t>Especialista de Producto</w:t>
            </w:r>
          </w:p>
        </w:tc>
        <w:tc>
          <w:tcPr>
            <w:tcW w:type="dxa" w:w="7140"/>
          </w:tcPr>
          <w:p>
            <w:r/>
            <w:r>
              <w:rPr>
                <w:rFonts w:ascii="Calibri" w:hAnsi="Calibri"/>
                <w:b w:val="0"/>
                <w:sz w:val="19"/>
              </w:rPr>
              <w:t>Recibir el prospecto calificado y continuar el ciclo comercial</w:t>
            </w:r>
          </w:p>
        </w:tc>
      </w:tr>
    </w:tbl>
    <w:p>
      <w:pPr>
        <w:keepNext/>
        <w:spacing w:before="240" w:after="80"/>
        <w:pBdr>
          <w:bottom w:val="single" w:sz="8" w:color="F0E528"/>
        </w:pBdr>
      </w:pPr>
      <w:r>
        <w:rPr>
          <w:rFonts w:ascii="Georgia" w:hAnsi="Georgia"/>
          <w:b/>
          <w:color w:val="0056B4"/>
          <w:sz w:val="22"/>
        </w:rPr>
        <w:t>6. POLÍTICAS Y LINEAMIENTOS</w:t>
      </w:r>
    </w:p>
    <w:p>
      <w:pPr>
        <w:spacing w:after="100"/>
      </w:pPr>
      <w:r>
        <w:rPr>
          <w:b/>
          <w:color w:val="0056B4"/>
          <w:sz w:val="20"/>
        </w:rPr>
        <w:t xml:space="preserve">Primer contacto en 15 minutos. </w:t>
      </w:r>
      <w:r>
        <w:rPr>
          <w:rFonts w:ascii="Calibri" w:hAnsi="Calibri"/>
          <w:sz w:val="20"/>
        </w:rPr>
        <w:t>El primer contacto con el lead se realiza en menos de 15 minutos tras su ingreso.</w:t>
      </w:r>
    </w:p>
    <w:p>
      <w:pPr>
        <w:spacing w:after="100"/>
      </w:pPr>
      <w:r>
        <w:rPr>
          <w:b/>
          <w:color w:val="0056B4"/>
          <w:sz w:val="20"/>
        </w:rPr>
        <w:t xml:space="preserve">Regla del especialista inicial. </w:t>
      </w:r>
      <w:r>
        <w:rPr>
          <w:rFonts w:ascii="Calibri" w:hAnsi="Calibri"/>
          <w:sz w:val="20"/>
        </w:rPr>
        <w:t>Si varios especialistas contactan al mismo prospecto en el periodo, se queda con el especialista inicial. La reasignación la media Gerencia Comercial priorizando la preferencia del prospecto y el historial documentado.</w:t>
      </w:r>
    </w:p>
    <w:p>
      <w:pPr>
        <w:spacing w:after="100"/>
      </w:pPr>
      <w:r>
        <w:rPr>
          <w:b/>
          <w:color w:val="0056B4"/>
          <w:sz w:val="20"/>
        </w:rPr>
        <w:t xml:space="preserve">Integridad de datos. </w:t>
      </w:r>
      <w:r>
        <w:rPr>
          <w:rFonts w:ascii="Calibri" w:hAnsi="Calibri"/>
          <w:sz w:val="20"/>
        </w:rPr>
        <w:t>Todo lead se registra en el CRM con su fuente, sin duplicados y con saneamiento diario; los leads perdidos se tipifican con el motivo de pérdida.</w:t>
      </w:r>
    </w:p>
    <w:p>
      <w:pPr>
        <w:keepNext/>
        <w:spacing w:before="240" w:after="80"/>
        <w:pBdr>
          <w:bottom w:val="single" w:sz="8" w:color="F0E528"/>
        </w:pBdr>
      </w:pPr>
      <w:r>
        <w:rPr>
          <w:rFonts w:ascii="Georgia" w:hAnsi="Georgia"/>
          <w:b/>
          <w:color w:val="0056B4"/>
          <w:sz w:val="22"/>
        </w:rPr>
        <w:t>7. DESARROLLO DEL PROCEDIMIENTO</w:t>
      </w:r>
    </w:p>
    <w:p>
      <w:pPr>
        <w:spacing w:after="80"/>
      </w:pPr>
      <w:r>
        <w:rPr>
          <w:rFonts w:ascii="Calibri" w:hAnsi="Calibri"/>
          <w:color w:val="1C242E"/>
          <w:sz w:val="20"/>
        </w:rPr>
        <w:t>El procedimiento se desarrolla en fases secuenciales. Cada paso identifica al responsable y, cuando aplica, el registro que debe generarse.</w:t>
      </w:r>
    </w:p>
    <w:p>
      <w:pPr>
        <w:spacing w:before="160" w:after="60"/>
      </w:pPr>
      <w:r>
        <w:rPr>
          <w:b/>
          <w:color w:val="1C242E"/>
          <w:sz w:val="21"/>
        </w:rPr>
        <w:t>Fase 1. Recepción</w:t>
      </w:r>
    </w:p>
    <w:p>
      <w:pPr>
        <w:spacing w:after="60"/>
        <w:ind w:left="340"/>
      </w:pPr>
      <w:r>
        <w:rPr>
          <w:b/>
          <w:sz w:val="20"/>
        </w:rPr>
        <w:t xml:space="preserve">1. Monitorear las plataformas </w:t>
      </w:r>
      <w:r>
        <w:rPr>
          <w:rFonts w:ascii="Calibri" w:hAnsi="Calibri"/>
          <w:sz w:val="20"/>
        </w:rPr>
        <w:t>· Vigilar WhatsApp, el sitio web y las redes sociales para detectar el ingreso de leads.</w:t>
      </w:r>
    </w:p>
    <w:p>
      <w:pPr>
        <w:spacing w:after="20"/>
        <w:ind w:left="680"/>
      </w:pPr>
      <w:r>
        <w:rPr>
          <w:b/>
          <w:color w:val="595959"/>
          <w:sz w:val="18"/>
        </w:rPr>
        <w:t xml:space="preserve">Responsable: </w:t>
      </w:r>
      <w:r>
        <w:rPr>
          <w:rFonts w:ascii="Calibri" w:hAnsi="Calibri"/>
          <w:color w:val="595959"/>
          <w:sz w:val="18"/>
        </w:rPr>
        <w:t>Ejecutivo de Atención al Cliente</w:t>
      </w:r>
    </w:p>
    <w:p>
      <w:pPr>
        <w:spacing w:after="60"/>
        <w:ind w:left="340"/>
      </w:pPr>
      <w:r>
        <w:rPr>
          <w:b/>
          <w:sz w:val="20"/>
        </w:rPr>
        <w:t xml:space="preserve">2. Realizar el primer contacto </w:t>
      </w:r>
      <w:r>
        <w:rPr>
          <w:rFonts w:ascii="Calibri" w:hAnsi="Calibri"/>
          <w:sz w:val="20"/>
        </w:rPr>
        <w:t>· Contactar al lead en menos de 15 minutos por el canal de origen.</w:t>
      </w:r>
    </w:p>
    <w:p>
      <w:pPr>
        <w:spacing w:after="20"/>
        <w:ind w:left="680"/>
      </w:pPr>
      <w:r>
        <w:rPr>
          <w:b/>
          <w:color w:val="595959"/>
          <w:sz w:val="18"/>
        </w:rPr>
        <w:t xml:space="preserve">Responsable: </w:t>
      </w:r>
      <w:r>
        <w:rPr>
          <w:rFonts w:ascii="Calibri" w:hAnsi="Calibri"/>
          <w:color w:val="595959"/>
          <w:sz w:val="18"/>
        </w:rPr>
        <w:t>Ejecutivo de Atención al Cliente</w:t>
      </w:r>
    </w:p>
    <w:p>
      <w:pPr>
        <w:spacing w:after="20"/>
        <w:ind w:left="680"/>
      </w:pPr>
      <w:r>
        <w:rPr>
          <w:b/>
          <w:color w:val="595959"/>
          <w:sz w:val="18"/>
        </w:rPr>
        <w:t xml:space="preserve">Control: </w:t>
      </w:r>
      <w:r>
        <w:rPr>
          <w:rFonts w:ascii="Calibri" w:hAnsi="Calibri"/>
          <w:color w:val="595959"/>
          <w:sz w:val="18"/>
        </w:rPr>
        <w:t>Contacto en menos de 15 minutos</w:t>
      </w:r>
    </w:p>
    <w:p>
      <w:pPr>
        <w:spacing w:before="160" w:after="60"/>
      </w:pPr>
      <w:r>
        <w:rPr>
          <w:b/>
          <w:color w:val="1C242E"/>
          <w:sz w:val="21"/>
        </w:rPr>
        <w:t>Fase 2. Calificación</w:t>
      </w:r>
    </w:p>
    <w:p>
      <w:pPr>
        <w:spacing w:after="60"/>
        <w:ind w:left="340"/>
      </w:pPr>
      <w:r>
        <w:rPr>
          <w:b/>
          <w:sz w:val="20"/>
        </w:rPr>
        <w:t xml:space="preserve">3. Calificar la viabilidad </w:t>
      </w:r>
      <w:r>
        <w:rPr>
          <w:rFonts w:ascii="Calibri" w:hAnsi="Calibri"/>
          <w:sz w:val="20"/>
        </w:rPr>
        <w:t>· Filtrar el proyecto como residencial, comercial o industrial, validar la capacidad de inversión y solicitar el recibo CFE y la ubicación.</w:t>
      </w:r>
    </w:p>
    <w:p>
      <w:pPr>
        <w:spacing w:after="20"/>
        <w:ind w:left="680"/>
      </w:pPr>
      <w:r>
        <w:rPr>
          <w:b/>
          <w:color w:val="595959"/>
          <w:sz w:val="18"/>
        </w:rPr>
        <w:t xml:space="preserve">Responsable: </w:t>
      </w:r>
      <w:r>
        <w:rPr>
          <w:rFonts w:ascii="Calibri" w:hAnsi="Calibri"/>
          <w:color w:val="595959"/>
          <w:sz w:val="18"/>
        </w:rPr>
        <w:t>Ejecutivo de Atención al Cliente</w:t>
      </w:r>
    </w:p>
    <w:p>
      <w:pPr>
        <w:spacing w:after="60"/>
        <w:ind w:left="340"/>
      </w:pPr>
      <w:r>
        <w:rPr>
          <w:b/>
          <w:sz w:val="20"/>
        </w:rPr>
        <w:t xml:space="preserve">4. Registrar en el CRM </w:t>
      </w:r>
      <w:r>
        <w:rPr>
          <w:rFonts w:ascii="Calibri" w:hAnsi="Calibri"/>
          <w:sz w:val="20"/>
        </w:rPr>
        <w:t>· Capturar el lead en el CRM con su fuente, sin duplicados; si se pierde, tipificar el motivo.</w:t>
      </w:r>
    </w:p>
    <w:p>
      <w:pPr>
        <w:spacing w:after="20"/>
        <w:ind w:left="680"/>
      </w:pPr>
      <w:r>
        <w:rPr>
          <w:b/>
          <w:color w:val="595959"/>
          <w:sz w:val="18"/>
        </w:rPr>
        <w:t xml:space="preserve">Responsable: </w:t>
      </w:r>
      <w:r>
        <w:rPr>
          <w:rFonts w:ascii="Calibri" w:hAnsi="Calibri"/>
          <w:color w:val="595959"/>
          <w:sz w:val="18"/>
        </w:rPr>
        <w:t>Ejecutivo de Atención al Cliente</w:t>
      </w:r>
    </w:p>
    <w:p>
      <w:pPr>
        <w:spacing w:after="20"/>
        <w:ind w:left="680"/>
      </w:pPr>
      <w:r>
        <w:rPr>
          <w:b/>
          <w:color w:val="595959"/>
          <w:sz w:val="18"/>
        </w:rPr>
        <w:t xml:space="preserve">Registro: </w:t>
      </w:r>
      <w:r>
        <w:rPr>
          <w:rFonts w:ascii="Calibri" w:hAnsi="Calibri"/>
          <w:color w:val="595959"/>
          <w:sz w:val="18"/>
        </w:rPr>
        <w:t>CRM</w:t>
      </w:r>
    </w:p>
    <w:p>
      <w:pPr>
        <w:spacing w:before="160" w:after="60"/>
      </w:pPr>
      <w:r>
        <w:rPr>
          <w:b/>
          <w:color w:val="1C242E"/>
          <w:sz w:val="21"/>
        </w:rPr>
        <w:t>Fase 3. Asignación</w:t>
      </w:r>
    </w:p>
    <w:p>
      <w:pPr>
        <w:spacing w:after="60"/>
        <w:ind w:left="340"/>
      </w:pPr>
      <w:r>
        <w:rPr>
          <w:b/>
          <w:sz w:val="20"/>
        </w:rPr>
        <w:t xml:space="preserve">5. Asignar y notificar al Especialista de Producto </w:t>
      </w:r>
      <w:r>
        <w:rPr>
          <w:rFonts w:ascii="Calibri" w:hAnsi="Calibri"/>
          <w:sz w:val="20"/>
        </w:rPr>
        <w:t>· Canalizar el prospecto calificado por plaza con el protocolo de traspaso. Si no hay seguimiento, Gerencia Comercial lo reasigna priorizando preferencia del prospecto e historial.</w:t>
      </w:r>
    </w:p>
    <w:p>
      <w:pPr>
        <w:spacing w:after="20"/>
        <w:ind w:left="680"/>
      </w:pPr>
      <w:r>
        <w:rPr>
          <w:b/>
          <w:color w:val="595959"/>
          <w:sz w:val="18"/>
        </w:rPr>
        <w:t xml:space="preserve">Responsable: </w:t>
      </w:r>
      <w:r>
        <w:rPr>
          <w:rFonts w:ascii="Calibri" w:hAnsi="Calibri"/>
          <w:color w:val="595959"/>
          <w:sz w:val="18"/>
        </w:rPr>
        <w:t>Ejecutivo de Atención al Cliente</w:t>
      </w:r>
    </w:p>
    <w:p>
      <w:pPr>
        <w:spacing w:after="20"/>
        <w:ind w:left="680"/>
      </w:pPr>
      <w:r>
        <w:rPr>
          <w:b/>
          <w:color w:val="595959"/>
          <w:sz w:val="18"/>
        </w:rPr>
        <w:t xml:space="preserve">Control: </w:t>
      </w:r>
      <w:r>
        <w:rPr>
          <w:rFonts w:ascii="Calibri" w:hAnsi="Calibri"/>
          <w:color w:val="595959"/>
          <w:sz w:val="18"/>
        </w:rPr>
        <w:t>Asignación con seguimiento</w:t>
      </w:r>
    </w:p>
    <w:p>
      <w:pPr>
        <w:keepNext/>
        <w:spacing w:before="240" w:after="80"/>
        <w:pBdr>
          <w:bottom w:val="single" w:sz="8" w:color="F0E528"/>
        </w:pBdr>
      </w:pPr>
      <w:r>
        <w:rPr>
          <w:rFonts w:ascii="Georgia" w:hAnsi="Georgia"/>
          <w:b/>
          <w:color w:val="0056B4"/>
          <w:sz w:val="22"/>
        </w:rPr>
        <w:t>8. DIAGRAMA DE FLUJO</w:t>
      </w:r>
    </w:p>
    <w:p>
      <w:pPr>
        <w:jc w:val="center"/>
      </w:pPr>
      <w:r>
        <w:drawing>
          <wp:inline xmlns:a="http://schemas.openxmlformats.org/drawingml/2006/main" xmlns:pic="http://schemas.openxmlformats.org/drawingml/2006/picture">
            <wp:extent cx="3799366" cy="6840000"/>
            <wp:docPr id="2" name="Picture 2"/>
            <wp:cNvGraphicFramePr>
              <a:graphicFrameLocks noChangeAspect="1"/>
            </wp:cNvGraphicFramePr>
            <a:graphic>
              <a:graphicData uri="http://schemas.openxmlformats.org/drawingml/2006/picture">
                <pic:pic>
                  <pic:nvPicPr>
                    <pic:cNvPr id="0" name="pro-ven-01-leads.png"/>
                    <pic:cNvPicPr/>
                  </pic:nvPicPr>
                  <pic:blipFill>
                    <a:blip r:embed="rId11"/>
                    <a:stretch>
                      <a:fillRect/>
                    </a:stretch>
                  </pic:blipFill>
                  <pic:spPr>
                    <a:xfrm>
                      <a:off x="0" y="0"/>
                      <a:ext cx="3799366" cy="6840000"/>
                    </a:xfrm>
                    <a:prstGeom prst="rect"/>
                  </pic:spPr>
                </pic:pic>
              </a:graphicData>
            </a:graphic>
          </wp:inline>
        </w:drawing>
      </w:r>
    </w:p>
    <w:p>
      <w:pPr>
        <w:jc w:val="center"/>
      </w:pPr>
      <w:r>
        <w:rPr>
          <w:i/>
          <w:color w:val="595959"/>
          <w:sz w:val="17"/>
        </w:rPr>
        <w:t>Del ingreso del lead a la asignación del prospecto calificado.</w:t>
      </w:r>
    </w:p>
    <w:p>
      <w:pPr>
        <w:keepNext/>
        <w:spacing w:before="240" w:after="80"/>
        <w:pBdr>
          <w:bottom w:val="single" w:sz="8" w:color="F0E528"/>
        </w:pBdr>
      </w:pPr>
      <w:r>
        <w:rPr>
          <w:rFonts w:ascii="Georgia" w:hAnsi="Georgia"/>
          <w:b/>
          <w:color w:val="0056B4"/>
          <w:sz w:val="22"/>
        </w:rPr>
        <w:t>9. REGISTROS Y FORMATOS ASOCIADOS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5100"/>
        <w:gridCol w:w="5100"/>
      </w:tblGrid>
      <w:tr>
        <w:tc>
          <w:tcPr>
            <w:tcW w:type="dxa" w:w="2856"/>
            <w:shd w:val="clear" w:fill="0056B4"/>
          </w:tcPr>
          <w:p>
            <w:pPr>
              <w:jc w:val="center"/>
            </w:pPr>
            <w:r/>
            <w:r>
              <w:rPr>
                <w:rFonts w:ascii="Calibri" w:hAnsi="Calibri"/>
                <w:b/>
                <w:color w:val="FFFFFF"/>
                <w:sz w:val="17"/>
              </w:rPr>
              <w:t>Código</w:t>
            </w:r>
          </w:p>
        </w:tc>
        <w:tc>
          <w:tcPr>
            <w:tcW w:type="dxa" w:w="7344"/>
            <w:shd w:val="clear" w:fill="0056B4"/>
          </w:tcPr>
          <w:p>
            <w:pPr>
              <w:jc w:val="center"/>
            </w:pPr>
            <w:r/>
            <w:r>
              <w:rPr>
                <w:rFonts w:ascii="Calibri" w:hAnsi="Calibri"/>
                <w:b/>
                <w:color w:val="FFFFFF"/>
                <w:sz w:val="17"/>
              </w:rPr>
              <w:t>Formato</w:t>
            </w:r>
          </w:p>
        </w:tc>
      </w:tr>
      <w:tr>
        <w:tc>
          <w:tcPr>
            <w:tcW w:type="dxa" w:w="2856"/>
          </w:tcPr>
          <w:p>
            <w:r/>
            <w:r>
              <w:rPr>
                <w:rFonts w:ascii="Calibri" w:hAnsi="Calibri"/>
                <w:b w:val="0"/>
                <w:sz w:val="19"/>
              </w:rPr>
              <w:t>CRM</w:t>
            </w:r>
          </w:p>
        </w:tc>
        <w:tc>
          <w:tcPr>
            <w:tcW w:type="dxa" w:w="7344"/>
          </w:tcPr>
          <w:p>
            <w:r/>
            <w:r>
              <w:rPr>
                <w:rFonts w:ascii="Calibri" w:hAnsi="Calibri"/>
                <w:b w:val="0"/>
                <w:sz w:val="19"/>
              </w:rPr>
              <w:t>Registro del lead con fuente y motivo de pérdida</w:t>
            </w:r>
          </w:p>
        </w:tc>
      </w:tr>
    </w:tbl>
    <w:p>
      <w:pPr>
        <w:keepNext/>
        <w:spacing w:before="240" w:after="80"/>
        <w:pBdr>
          <w:bottom w:val="single" w:sz="8" w:color="F0E528"/>
        </w:pBdr>
      </w:pPr>
      <w:r>
        <w:rPr>
          <w:rFonts w:ascii="Georgia" w:hAnsi="Georgia"/>
          <w:b/>
          <w:color w:val="0056B4"/>
          <w:sz w:val="22"/>
        </w:rPr>
        <w:t>10. CONTROL DE CAMBIOS</w:t>
      </w:r>
    </w:p>
    <w:tbl>
      <w:tblPr>
        <w:tblW w:type="auto" w:w="0"/>
        <w:tblLook w:firstColumn="1" w:firstRow="1" w:lastColumn="0" w:lastRow="0" w:noHBand="0" w:noVBand="1" w:val="04A0"/>
        <w:tblBorders>
          <w:top w:val="single" w:sz="4" w:color="404040"/>
          <w:left w:val="single" w:sz="4" w:color="404040"/>
          <w:bottom w:val="single" w:sz="4" w:color="404040"/>
          <w:right w:val="single" w:sz="4" w:color="404040"/>
          <w:insideH w:val="single" w:sz="4" w:color="404040"/>
          <w:insideV w:val="single" w:sz="4" w:color="404040"/>
        </w:tblBorders>
      </w:tblPr>
      <w:tblGrid>
        <w:gridCol w:w="2550"/>
        <w:gridCol w:w="2550"/>
        <w:gridCol w:w="2550"/>
        <w:gridCol w:w="2550"/>
      </w:tblGrid>
      <w:tr>
        <w:tc>
          <w:tcPr>
            <w:tcW w:type="dxa" w:w="1224"/>
            <w:shd w:val="clear" w:fill="0056B4"/>
          </w:tcPr>
          <w:p>
            <w:pPr>
              <w:jc w:val="center"/>
            </w:pPr>
            <w:r/>
            <w:r>
              <w:rPr>
                <w:rFonts w:ascii="Calibri" w:hAnsi="Calibri"/>
                <w:b/>
                <w:color w:val="FFFFFF"/>
                <w:sz w:val="17"/>
              </w:rPr>
              <w:t>Versión</w:t>
            </w:r>
          </w:p>
        </w:tc>
        <w:tc>
          <w:tcPr>
            <w:tcW w:type="dxa" w:w="1632"/>
            <w:shd w:val="clear" w:fill="0056B4"/>
          </w:tcPr>
          <w:p>
            <w:pPr>
              <w:jc w:val="center"/>
            </w:pPr>
            <w:r/>
            <w:r>
              <w:rPr>
                <w:rFonts w:ascii="Calibri" w:hAnsi="Calibri"/>
                <w:b/>
                <w:color w:val="FFFFFF"/>
                <w:sz w:val="17"/>
              </w:rPr>
              <w:t>Fecha</w:t>
            </w:r>
          </w:p>
        </w:tc>
        <w:tc>
          <w:tcPr>
            <w:tcW w:type="dxa" w:w="5712"/>
            <w:shd w:val="clear" w:fill="0056B4"/>
          </w:tcPr>
          <w:p>
            <w:pPr>
              <w:jc w:val="center"/>
            </w:pPr>
            <w:r/>
            <w:r>
              <w:rPr>
                <w:rFonts w:ascii="Calibri" w:hAnsi="Calibri"/>
                <w:b/>
                <w:color w:val="FFFFFF"/>
                <w:sz w:val="17"/>
              </w:rPr>
              <w:t>Descripción del cambio</w:t>
            </w:r>
          </w:p>
        </w:tc>
        <w:tc>
          <w:tcPr>
            <w:tcW w:type="dxa" w:w="1632"/>
            <w:shd w:val="clear" w:fill="0056B4"/>
          </w:tcPr>
          <w:p>
            <w:pPr>
              <w:jc w:val="center"/>
            </w:pPr>
            <w:r/>
            <w:r>
              <w:rPr>
                <w:rFonts w:ascii="Calibri" w:hAnsi="Calibri"/>
                <w:b/>
                <w:color w:val="FFFFFF"/>
                <w:sz w:val="17"/>
              </w:rPr>
              <w:t>Elaboró</w:t>
            </w:r>
          </w:p>
        </w:tc>
      </w:tr>
      <w:tr>
        <w:tc>
          <w:tcPr>
            <w:tcW w:type="dxa" w:w="1224"/>
          </w:tcPr>
          <w:p>
            <w:r/>
            <w:r>
              <w:rPr>
                <w:rFonts w:ascii="Calibri" w:hAnsi="Calibri"/>
                <w:b w:val="0"/>
                <w:sz w:val="19"/>
              </w:rPr>
              <w:t>1.0</w:t>
            </w:r>
          </w:p>
        </w:tc>
        <w:tc>
          <w:tcPr>
            <w:tcW w:type="dxa" w:w="1632"/>
          </w:tcPr>
          <w:p>
            <w:r/>
            <w:r>
              <w:rPr>
                <w:rFonts w:ascii="Calibri" w:hAnsi="Calibri"/>
                <w:b w:val="0"/>
                <w:sz w:val="19"/>
              </w:rPr>
              <w:t>Septiembre 2026</w:t>
            </w:r>
          </w:p>
        </w:tc>
        <w:tc>
          <w:tcPr>
            <w:tcW w:type="dxa" w:w="5712"/>
          </w:tcPr>
          <w:p>
            <w:r/>
            <w:r>
              <w:rPr>
                <w:rFonts w:ascii="Calibri" w:hAnsi="Calibri"/>
                <w:b w:val="0"/>
                <w:sz w:val="19"/>
              </w:rPr>
              <w:t>Emisión inicial a partir de las Políticas Comerciales y la minuta de asignación y comisiones. Revisión trimestral.</w:t>
            </w:r>
          </w:p>
        </w:tc>
        <w:tc>
          <w:tcPr>
            <w:tcW w:type="dxa" w:w="1632"/>
          </w:tcPr>
          <w:p>
            <w:r/>
            <w:r>
              <w:rPr>
                <w:rFonts w:ascii="Calibri" w:hAnsi="Calibri"/>
                <w:b w:val="0"/>
                <w:sz w:val="19"/>
              </w:rPr>
              <w:t>DETA Consultores</w:t>
            </w:r>
          </w:p>
        </w:tc>
      </w:tr>
    </w:tbl>
    <w:p>
      <w:pPr>
        <w:keepNext/>
        <w:spacing w:before="240" w:after="80"/>
        <w:pBdr>
          <w:bottom w:val="single" w:sz="8" w:color="F0E528"/>
        </w:pBdr>
      </w:pPr>
      <w:r>
        <w:rPr>
          <w:rFonts w:ascii="Georgia" w:hAnsi="Georgia"/>
          <w:b/>
          <w:color w:val="0056B4"/>
          <w:sz w:val="22"/>
        </w:rPr>
        <w:t>11. CONTROL DE FIRMAS</w:t>
      </w:r>
    </w:p>
    <w:p>
      <w:pPr>
        <w:spacing w:after="120"/>
      </w:pPr>
    </w:p>
    <w:p>
      <w:pPr>
        <w:keepNext/>
        <w:spacing w:after="320"/>
      </w:pPr>
    </w:p>
    <w:tbl>
      <w:tblPr>
        <w:tblW w:type="auto" w:w="0"/>
        <w:tblLook w:firstColumn="1" w:firstRow="1" w:lastColumn="0" w:lastRow="0" w:noHBand="0" w:noVBand="1" w:val="04A0"/>
      </w:tblPr>
      <w:tblGrid>
        <w:gridCol w:w="3400"/>
        <w:gridCol w:w="3400"/>
        <w:gridCol w:w="3400"/>
      </w:tblGrid>
      <w:tr>
        <w:tc>
          <w:tcPr>
            <w:tcW w:type="dxa" w:w="3400"/>
          </w:tcPr>
          <w:p>
            <w:pPr>
              <w:jc w:val="center"/>
            </w:pPr>
            <w:r/>
            <w:r>
              <w:rPr>
                <w:sz w:val="20"/>
              </w:rPr>
              <w:t>__________________________</w:t>
            </w:r>
          </w:p>
        </w:tc>
        <w:tc>
          <w:tcPr>
            <w:tcW w:type="dxa" w:w="3400"/>
          </w:tcPr>
          <w:p>
            <w:pPr>
              <w:jc w:val="center"/>
            </w:pPr>
            <w:r/>
            <w:r>
              <w:rPr>
                <w:sz w:val="20"/>
              </w:rPr>
              <w:t>__________________________</w:t>
            </w:r>
          </w:p>
        </w:tc>
        <w:tc>
          <w:tcPr>
            <w:tcW w:type="dxa" w:w="3400"/>
          </w:tcPr>
          <w:p>
            <w:pPr>
              <w:jc w:val="center"/>
            </w:pPr>
            <w:r/>
            <w:r>
              <w:rPr>
                <w:sz w:val="20"/>
              </w:rPr>
              <w:t>__________________________</w:t>
            </w:r>
          </w:p>
        </w:tc>
      </w:tr>
      <w:tr>
        <w:tc>
          <w:tcPr>
            <w:tcW w:type="dxa" w:w="3400"/>
          </w:tcPr>
          <w:p>
            <w:pPr>
              <w:jc w:val="center"/>
            </w:pPr>
            <w:r/>
            <w:r>
              <w:rPr>
                <w:rFonts w:ascii="Calibri" w:hAnsi="Calibri"/>
                <w:b w:val="0"/>
                <w:color w:val="595959"/>
                <w:sz w:val="17"/>
              </w:rPr>
              <w:t>Elaboró</w:t>
              <w:br/>
              <w:t>DETA Consultores</w:t>
            </w:r>
          </w:p>
        </w:tc>
        <w:tc>
          <w:tcPr>
            <w:tcW w:type="dxa" w:w="3400"/>
          </w:tcPr>
          <w:p>
            <w:pPr>
              <w:jc w:val="center"/>
            </w:pPr>
            <w:r/>
            <w:r>
              <w:rPr>
                <w:rFonts w:ascii="Calibri" w:hAnsi="Calibri"/>
                <w:b w:val="0"/>
                <w:color w:val="595959"/>
                <w:sz w:val="17"/>
              </w:rPr>
              <w:t>Revisó</w:t>
              <w:br/>
              <w:t>Gerencia Comercial</w:t>
            </w:r>
          </w:p>
        </w:tc>
        <w:tc>
          <w:tcPr>
            <w:tcW w:type="dxa" w:w="3400"/>
          </w:tcPr>
          <w:p>
            <w:pPr>
              <w:jc w:val="center"/>
            </w:pPr>
            <w:r/>
            <w:r>
              <w:rPr>
                <w:rFonts w:ascii="Calibri" w:hAnsi="Calibri"/>
                <w:b w:val="0"/>
                <w:color w:val="595959"/>
                <w:sz w:val="17"/>
              </w:rPr>
              <w:t>Aprobó</w:t>
              <w:br/>
              <w:t>Dirección General</w:t>
            </w:r>
          </w:p>
        </w:tc>
      </w:tr>
    </w:tbl>
    <w:sectPr w:rsidR="00FC693F" w:rsidRPr="0006063C" w:rsidSect="00034616">
      <w:footerReference w:type="default" r:id="rId9"/>
      <w:pgSz w:w="12240" w:h="15840"/>
      <w:pgMar w:top="907" w:right="1020" w:bottom="907"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Calibri" w:hAnsi="Calibri"/>
        <w:color w:val="595959"/>
        <w:sz w:val="15"/>
      </w:rPr>
      <w:t>SolarPro · Procedimiento Comercial · PRO-VEN-01 V1.0</w:t>
    </w:r>
    <w:r>
      <w:tab/>
      <w:tab/>
    </w:r>
    <w:r>
      <w:rPr>
        <w:rFonts w:ascii="Calibri" w:hAnsi="Calibri"/>
        <w:color w:val="595959"/>
        <w:sz w:val="15"/>
      </w:rPr>
      <w:t>Elaboró DETA Consultores</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