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drawing>
          <wp:inline xmlns:a="http://schemas.openxmlformats.org/drawingml/2006/main" xmlns:pic="http://schemas.openxmlformats.org/drawingml/2006/picture">
            <wp:extent cx="2340000" cy="768857"/>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2340000" cy="768857"/>
                    </a:xfrm>
                    <a:prstGeom prst="rect"/>
                  </pic:spPr>
                </pic:pic>
              </a:graphicData>
            </a:graphic>
          </wp:inline>
        </w:drawing>
      </w:r>
    </w:p>
    <w:p>
      <w:pPr>
        <w:spacing w:before="800"/>
        <w:jc w:val="center"/>
      </w:pPr>
      <w:r>
        <w:rPr>
          <w:rFonts w:ascii="Calibri" w:hAnsi="Calibri"/>
          <w:b/>
          <w:color w:val="595959"/>
          <w:sz w:val="22"/>
        </w:rPr>
        <w:t>SISTEMA DE GESTIÓN DE CALIDAD ISO 9001:2015</w:t>
      </w:r>
    </w:p>
    <w:p>
      <w:pPr>
        <w:spacing w:before="120" w:after="40"/>
        <w:jc w:val="center"/>
      </w:pPr>
      <w:r>
        <w:rPr>
          <w:rFonts w:ascii="Georgia" w:hAnsi="Georgia"/>
          <w:b/>
          <w:color w:val="0056B4"/>
          <w:sz w:val="60"/>
        </w:rPr>
        <w:t>Control de Salidas No Conformes</w:t>
      </w:r>
    </w:p>
    <w:p>
      <w:pPr>
        <w:jc w:val="center"/>
      </w:pPr>
      <w:r>
        <w:rPr>
          <w:color w:val="F0E528"/>
          <w:sz w:val="24"/>
        </w:rPr>
        <w:t>________</w:t>
      </w:r>
    </w:p>
    <w:p>
      <w:pPr>
        <w:jc w:val="center"/>
      </w:pPr>
      <w:r>
        <w:rPr>
          <w:rFonts w:ascii="Georgia" w:hAnsi="Georgia"/>
          <w:i/>
          <w:color w:val="595959"/>
          <w:sz w:val="26"/>
        </w:rPr>
        <w:t>SolarPro · Sistema de Gestión de Calidad ISO 9001:2015</w:t>
      </w:r>
    </w:p>
    <w:p>
      <w:pPr>
        <w:spacing w:before="600"/>
        <w:jc w:val="center"/>
      </w:pPr>
      <w:r>
        <w:rPr>
          <w:b/>
          <w:color w:val="1C242E"/>
          <w:sz w:val="22"/>
        </w:rPr>
        <w:t>Soluciones Energéticas JEA S.A. de C.V. (SolarPro)</w:t>
      </w:r>
    </w:p>
    <w:p>
      <w:pPr>
        <w:jc w:val="center"/>
      </w:pPr>
      <w:r>
        <w:rPr>
          <w:color w:val="595959"/>
          <w:sz w:val="20"/>
        </w:rPr>
        <w:t>PRO-SNC-001  ·  Versión 1  ·  17 de septiembre de 2026</w:t>
      </w:r>
    </w:p>
    <w:p>
      <w:pPr>
        <w:spacing w:before="120"/>
        <w:jc w:val="center"/>
      </w:pPr>
      <w:r>
        <w:rPr>
          <w:color w:val="595959"/>
          <w:sz w:val="18"/>
        </w:rPr>
        <w:t>Elaboró DETA Consultores</w:t>
      </w:r>
    </w:p>
    <w:p>
      <w:pPr>
        <w:jc w:val="center"/>
      </w:pPr>
      <w:r>
        <w:rPr>
          <w:i/>
          <w:color w:val="595959"/>
          <w:sz w:val="18"/>
        </w:rPr>
        <w:t>Borrador para validación</w:t>
      </w:r>
    </w:p>
    <w:p>
      <w:r>
        <w:br w:type="page"/>
      </w:r>
    </w:p>
    <w:p>
      <w:pPr>
        <w:keepNext/>
        <w:spacing w:before="280" w:after="80"/>
        <w:pBdr>
          <w:bottom w:val="single" w:sz="8" w:color="F0E528"/>
        </w:pBdr>
      </w:pPr>
      <w:r>
        <w:rPr>
          <w:rFonts w:ascii="Georgia" w:hAnsi="Georgia"/>
          <w:b/>
          <w:color w:val="0056B4"/>
          <w:sz w:val="26"/>
        </w:rPr>
        <w:t>CONTROL DEL DOCUMENTO</w:t>
      </w:r>
    </w:p>
    <w:tbl>
      <w:tblPr>
        <w:tblW w:type="auto" w:w="0"/>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4986"/>
        <w:gridCol w:w="4986"/>
      </w:tblGrid>
      <w:tr>
        <w:tc>
          <w:tcPr>
            <w:tcW w:type="dxa" w:w="3191"/>
            <w:shd w:val="clear" w:fill="F2F2F2"/>
          </w:tcPr>
          <w:p>
            <w:r/>
            <w:r>
              <w:rPr>
                <w:rFonts w:ascii="Calibri" w:hAnsi="Calibri"/>
                <w:b/>
                <w:sz w:val="18"/>
              </w:rPr>
              <w:t>Código</w:t>
            </w:r>
          </w:p>
        </w:tc>
        <w:tc>
          <w:tcPr>
            <w:tcW w:type="dxa" w:w="6781"/>
          </w:tcPr>
          <w:p>
            <w:r/>
            <w:r>
              <w:rPr>
                <w:rFonts w:ascii="Calibri" w:hAnsi="Calibri"/>
                <w:b w:val="0"/>
                <w:sz w:val="18"/>
              </w:rPr>
              <w:t>PRO-SNC-001</w:t>
            </w:r>
          </w:p>
        </w:tc>
      </w:tr>
      <w:tr>
        <w:tc>
          <w:tcPr>
            <w:tcW w:type="dxa" w:w="3191"/>
            <w:shd w:val="clear" w:fill="F2F2F2"/>
          </w:tcPr>
          <w:p>
            <w:r/>
            <w:r>
              <w:rPr>
                <w:rFonts w:ascii="Calibri" w:hAnsi="Calibri"/>
                <w:b/>
                <w:sz w:val="18"/>
              </w:rPr>
              <w:t>Versión</w:t>
            </w:r>
          </w:p>
        </w:tc>
        <w:tc>
          <w:tcPr>
            <w:tcW w:type="dxa" w:w="6781"/>
          </w:tcPr>
          <w:p>
            <w:r/>
            <w:r>
              <w:rPr>
                <w:rFonts w:ascii="Calibri" w:hAnsi="Calibri"/>
                <w:b w:val="0"/>
                <w:sz w:val="18"/>
              </w:rPr>
              <w:t>1</w:t>
            </w:r>
          </w:p>
        </w:tc>
      </w:tr>
      <w:tr>
        <w:tc>
          <w:tcPr>
            <w:tcW w:type="dxa" w:w="3191"/>
            <w:shd w:val="clear" w:fill="F2F2F2"/>
          </w:tcPr>
          <w:p>
            <w:r/>
            <w:r>
              <w:rPr>
                <w:rFonts w:ascii="Calibri" w:hAnsi="Calibri"/>
                <w:b/>
                <w:sz w:val="18"/>
              </w:rPr>
              <w:t>Estado</w:t>
            </w:r>
          </w:p>
        </w:tc>
        <w:tc>
          <w:tcPr>
            <w:tcW w:type="dxa" w:w="6781"/>
          </w:tcPr>
          <w:p>
            <w:r/>
            <w:r>
              <w:rPr>
                <w:rFonts w:ascii="Calibri" w:hAnsi="Calibri"/>
                <w:b w:val="0"/>
                <w:sz w:val="18"/>
              </w:rPr>
              <w:t>Borrador para validación</w:t>
            </w:r>
          </w:p>
        </w:tc>
      </w:tr>
      <w:tr>
        <w:tc>
          <w:tcPr>
            <w:tcW w:type="dxa" w:w="3191"/>
            <w:shd w:val="clear" w:fill="F2F2F2"/>
          </w:tcPr>
          <w:p>
            <w:r/>
            <w:r>
              <w:rPr>
                <w:rFonts w:ascii="Calibri" w:hAnsi="Calibri"/>
                <w:b/>
                <w:sz w:val="18"/>
              </w:rPr>
              <w:t>Fecha de emisión</w:t>
            </w:r>
          </w:p>
        </w:tc>
        <w:tc>
          <w:tcPr>
            <w:tcW w:type="dxa" w:w="6781"/>
          </w:tcPr>
          <w:p>
            <w:r/>
            <w:r>
              <w:rPr>
                <w:rFonts w:ascii="Calibri" w:hAnsi="Calibri"/>
                <w:b w:val="0"/>
                <w:sz w:val="18"/>
              </w:rPr>
              <w:t>17 de septiembre de 2026</w:t>
            </w:r>
          </w:p>
        </w:tc>
      </w:tr>
      <w:tr>
        <w:tc>
          <w:tcPr>
            <w:tcW w:type="dxa" w:w="3191"/>
            <w:shd w:val="clear" w:fill="F2F2F2"/>
          </w:tcPr>
          <w:p>
            <w:r/>
            <w:r>
              <w:rPr>
                <w:rFonts w:ascii="Calibri" w:hAnsi="Calibri"/>
                <w:b/>
                <w:sz w:val="18"/>
              </w:rPr>
              <w:t>Fecha de revisión</w:t>
            </w:r>
          </w:p>
        </w:tc>
        <w:tc>
          <w:tcPr>
            <w:tcW w:type="dxa" w:w="6781"/>
          </w:tcPr>
          <w:p>
            <w:r/>
            <w:r>
              <w:rPr>
                <w:rFonts w:ascii="Calibri" w:hAnsi="Calibri"/>
                <w:b w:val="0"/>
                <w:sz w:val="18"/>
              </w:rPr>
              <w:t>Septiembre 2027</w:t>
            </w:r>
          </w:p>
        </w:tc>
      </w:tr>
      <w:tr>
        <w:tc>
          <w:tcPr>
            <w:tcW w:type="dxa" w:w="3191"/>
            <w:shd w:val="clear" w:fill="F2F2F2"/>
          </w:tcPr>
          <w:p>
            <w:r/>
            <w:r>
              <w:rPr>
                <w:rFonts w:ascii="Calibri" w:hAnsi="Calibri"/>
                <w:b/>
                <w:sz w:val="18"/>
              </w:rPr>
              <w:t>Custodio del documento</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Elabora</w:t>
            </w:r>
          </w:p>
        </w:tc>
        <w:tc>
          <w:tcPr>
            <w:tcW w:type="dxa" w:w="6781"/>
          </w:tcPr>
          <w:p>
            <w:r/>
            <w:r>
              <w:rPr>
                <w:rFonts w:ascii="Calibri" w:hAnsi="Calibri"/>
                <w:b w:val="0"/>
                <w:sz w:val="18"/>
              </w:rPr>
              <w:t>DETA Consultores</w:t>
            </w:r>
          </w:p>
        </w:tc>
      </w:tr>
      <w:tr>
        <w:tc>
          <w:tcPr>
            <w:tcW w:type="dxa" w:w="3191"/>
            <w:shd w:val="clear" w:fill="F2F2F2"/>
          </w:tcPr>
          <w:p>
            <w:r/>
            <w:r>
              <w:rPr>
                <w:rFonts w:ascii="Calibri" w:hAnsi="Calibri"/>
                <w:b/>
                <w:sz w:val="18"/>
              </w:rPr>
              <w:t>Revisa</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Aprueba</w:t>
            </w:r>
          </w:p>
        </w:tc>
        <w:tc>
          <w:tcPr>
            <w:tcW w:type="dxa" w:w="6781"/>
          </w:tcPr>
          <w:p>
            <w:r/>
            <w:r>
              <w:rPr>
                <w:rFonts w:ascii="Calibri" w:hAnsi="Calibri"/>
                <w:b w:val="0"/>
                <w:sz w:val="18"/>
              </w:rPr>
              <w:t>Dirección General</w:t>
            </w:r>
          </w:p>
        </w:tc>
      </w:tr>
      <w:tr>
        <w:tc>
          <w:tcPr>
            <w:tcW w:type="dxa" w:w="3191"/>
            <w:shd w:val="clear" w:fill="F2F2F2"/>
          </w:tcPr>
          <w:p>
            <w:r/>
            <w:r>
              <w:rPr>
                <w:rFonts w:ascii="Calibri" w:hAnsi="Calibri"/>
                <w:b/>
                <w:sz w:val="18"/>
              </w:rPr>
              <w:t>Clasificación</w:t>
            </w:r>
          </w:p>
        </w:tc>
        <w:tc>
          <w:tcPr>
            <w:tcW w:type="dxa" w:w="6781"/>
          </w:tcPr>
          <w:p>
            <w:r/>
            <w:r>
              <w:rPr>
                <w:rFonts w:ascii="Calibri" w:hAnsi="Calibri"/>
                <w:b w:val="0"/>
                <w:sz w:val="18"/>
              </w:rPr>
              <w:t>Interno</w:t>
            </w:r>
          </w:p>
        </w:tc>
      </w:tr>
      <w:tr>
        <w:tc>
          <w:tcPr>
            <w:tcW w:type="dxa" w:w="3191"/>
            <w:shd w:val="clear" w:fill="F2F2F2"/>
          </w:tcPr>
          <w:p>
            <w:r/>
            <w:r>
              <w:rPr>
                <w:rFonts w:ascii="Calibri" w:hAnsi="Calibri"/>
                <w:b/>
                <w:sz w:val="18"/>
              </w:rPr>
              <w:t>Razón social</w:t>
            </w:r>
          </w:p>
        </w:tc>
        <w:tc>
          <w:tcPr>
            <w:tcW w:type="dxa" w:w="6781"/>
          </w:tcPr>
          <w:p>
            <w:r/>
            <w:r>
              <w:rPr>
                <w:rFonts w:ascii="Calibri" w:hAnsi="Calibri"/>
                <w:b w:val="0"/>
                <w:sz w:val="18"/>
              </w:rPr>
              <w:t>Soluciones Energéticas JEA S.A. de C.V. (SolarPro)</w:t>
            </w:r>
          </w:p>
        </w:tc>
      </w:tr>
      <w:tr>
        <w:tc>
          <w:tcPr>
            <w:tcW w:type="dxa" w:w="3191"/>
            <w:shd w:val="clear" w:fill="F2F2F2"/>
          </w:tcPr>
          <w:p>
            <w:r/>
            <w:r>
              <w:rPr>
                <w:rFonts w:ascii="Calibri" w:hAnsi="Calibri"/>
                <w:b/>
                <w:sz w:val="18"/>
              </w:rPr>
              <w:t>RFC</w:t>
            </w:r>
          </w:p>
        </w:tc>
        <w:tc>
          <w:tcPr>
            <w:tcW w:type="dxa" w:w="6781"/>
          </w:tcPr>
          <w:p>
            <w:r/>
            <w:r>
              <w:rPr>
                <w:rFonts w:ascii="Calibri" w:hAnsi="Calibri"/>
                <w:b w:val="0"/>
                <w:sz w:val="18"/>
              </w:rPr>
              <w:t>SEJ151105UV7</w:t>
            </w:r>
          </w:p>
        </w:tc>
      </w:tr>
      <w:tr>
        <w:tc>
          <w:tcPr>
            <w:tcW w:type="dxa" w:w="3191"/>
            <w:shd w:val="clear" w:fill="F2F2F2"/>
          </w:tcPr>
          <w:p>
            <w:r/>
            <w:r>
              <w:rPr>
                <w:rFonts w:ascii="Calibri" w:hAnsi="Calibri"/>
                <w:b/>
                <w:sz w:val="18"/>
              </w:rPr>
              <w:t>Sitios cubiertos</w:t>
            </w:r>
          </w:p>
        </w:tc>
        <w:tc>
          <w:tcPr>
            <w:tcW w:type="dxa" w:w="6781"/>
          </w:tcPr>
          <w:p>
            <w:r/>
            <w:r>
              <w:rPr>
                <w:rFonts w:ascii="Calibri" w:hAnsi="Calibri"/>
                <w:b w:val="0"/>
                <w:sz w:val="18"/>
              </w:rPr>
              <w:t>Matriz Chihuahua; operación Ciudad Juárez</w:t>
            </w:r>
          </w:p>
        </w:tc>
      </w:tr>
    </w:tbl>
    <w:p>
      <w:pPr>
        <w:keepNext/>
        <w:spacing w:before="280" w:after="80"/>
        <w:pBdr>
          <w:bottom w:val="single" w:sz="8" w:color="F0E528"/>
        </w:pBdr>
      </w:pPr>
      <w:r>
        <w:rPr>
          <w:rFonts w:ascii="Georgia" w:hAnsi="Georgia"/>
          <w:b/>
          <w:color w:val="0056B4"/>
          <w:sz w:val="26"/>
        </w:rPr>
        <w:t>HISTORIAL DE REVISIONES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1197"/>
            <w:shd w:val="clear" w:fill="0056B4"/>
          </w:tcPr>
          <w:p>
            <w:pPr>
              <w:jc w:val="center"/>
            </w:pPr>
            <w:r/>
            <w:r>
              <w:rPr>
                <w:rFonts w:ascii="Calibri" w:hAnsi="Calibri"/>
                <w:b/>
                <w:color w:val="FFFFFF"/>
                <w:sz w:val="17"/>
              </w:rPr>
              <w:t>Versión</w:t>
            </w:r>
          </w:p>
        </w:tc>
        <w:tc>
          <w:tcPr>
            <w:tcW w:type="dxa" w:w="1596"/>
            <w:shd w:val="clear" w:fill="0056B4"/>
          </w:tcPr>
          <w:p>
            <w:pPr>
              <w:jc w:val="center"/>
            </w:pPr>
            <w:r/>
            <w:r>
              <w:rPr>
                <w:rFonts w:ascii="Calibri" w:hAnsi="Calibri"/>
                <w:b/>
                <w:color w:val="FFFFFF"/>
                <w:sz w:val="17"/>
              </w:rPr>
              <w:t>Fecha</w:t>
            </w:r>
          </w:p>
        </w:tc>
        <w:tc>
          <w:tcPr>
            <w:tcW w:type="dxa" w:w="5584"/>
            <w:shd w:val="clear" w:fill="0056B4"/>
          </w:tcPr>
          <w:p>
            <w:pPr>
              <w:jc w:val="center"/>
            </w:pPr>
            <w:r/>
            <w:r>
              <w:rPr>
                <w:rFonts w:ascii="Calibri" w:hAnsi="Calibri"/>
                <w:b/>
                <w:color w:val="FFFFFF"/>
                <w:sz w:val="17"/>
              </w:rPr>
              <w:t>Descripción del cambio</w:t>
            </w:r>
          </w:p>
        </w:tc>
        <w:tc>
          <w:tcPr>
            <w:tcW w:type="dxa" w:w="1596"/>
            <w:shd w:val="clear" w:fill="0056B4"/>
          </w:tcPr>
          <w:p>
            <w:pPr>
              <w:jc w:val="center"/>
            </w:pPr>
            <w:r/>
            <w:r>
              <w:rPr>
                <w:rFonts w:ascii="Calibri" w:hAnsi="Calibri"/>
                <w:b/>
                <w:color w:val="FFFFFF"/>
                <w:sz w:val="17"/>
              </w:rPr>
              <w:t>Elaboró</w:t>
            </w:r>
          </w:p>
        </w:tc>
      </w:tr>
      <w:tr>
        <w:tc>
          <w:tcPr>
            <w:tcW w:type="dxa" w:w="1197"/>
          </w:tcPr>
          <w:p>
            <w:r/>
            <w:r>
              <w:rPr>
                <w:rFonts w:ascii="Calibri" w:hAnsi="Calibri"/>
                <w:b w:val="0"/>
                <w:sz w:val="19"/>
              </w:rPr>
              <w:t>1</w:t>
            </w:r>
          </w:p>
        </w:tc>
        <w:tc>
          <w:tcPr>
            <w:tcW w:type="dxa" w:w="1596"/>
          </w:tcPr>
          <w:p>
            <w:r/>
            <w:r>
              <w:rPr>
                <w:rFonts w:ascii="Calibri" w:hAnsi="Calibri"/>
                <w:b w:val="0"/>
                <w:sz w:val="19"/>
              </w:rPr>
              <w:t>17 de septiembre de 2026</w:t>
            </w:r>
          </w:p>
        </w:tc>
        <w:tc>
          <w:tcPr>
            <w:tcW w:type="dxa" w:w="5584"/>
          </w:tcPr>
          <w:p>
            <w:r/>
            <w:r>
              <w:rPr>
                <w:rFonts w:ascii="Calibri" w:hAnsi="Calibri"/>
                <w:b w:val="0"/>
                <w:sz w:val="19"/>
              </w:rPr>
              <w:t>Emisión inicial derivada de la cláusula 8.7 del SGC (ISO 9001:2015).</w:t>
            </w:r>
          </w:p>
        </w:tc>
        <w:tc>
          <w:tcPr>
            <w:tcW w:type="dxa" w:w="1596"/>
          </w:tcPr>
          <w:p>
            <w:r/>
            <w:r>
              <w:rPr>
                <w:rFonts w:ascii="Calibri" w:hAnsi="Calibri"/>
                <w:b w:val="0"/>
                <w:sz w:val="19"/>
              </w:rPr>
              <w:t>DETA Consultores</w:t>
            </w:r>
          </w:p>
        </w:tc>
      </w:tr>
    </w:tbl>
    <w:p>
      <w:r>
        <w:br w:type="page"/>
      </w:r>
    </w:p>
    <w:p>
      <w:pPr>
        <w:keepNext/>
        <w:spacing w:before="280" w:after="80"/>
        <w:pBdr>
          <w:bottom w:val="single" w:sz="8" w:color="F0E528"/>
        </w:pBdr>
      </w:pPr>
      <w:r>
        <w:rPr>
          <w:rFonts w:ascii="Georgia" w:hAnsi="Georgia"/>
          <w:b/>
          <w:color w:val="0056B4"/>
          <w:sz w:val="26"/>
        </w:rPr>
        <w:t>CONTENIDO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r>
        <w:br w:type="page"/>
      </w:r>
    </w:p>
    <w:p>
      <w:pPr>
        <w:keepNext/>
        <w:spacing w:before="280" w:after="80"/>
        <w:pBdr>
          <w:bottom w:val="single" w:sz="8" w:color="F0E528"/>
        </w:pBdr>
      </w:pPr>
      <w:r>
        <w:rPr>
          <w:rFonts w:ascii="Georgia" w:hAnsi="Georgia"/>
          <w:b/>
          <w:color w:val="0056B4"/>
          <w:sz w:val="26"/>
        </w:rPr>
        <w:t>1. Objetivo</w:t>
      </w:r>
    </w:p>
    <w:p>
      <w:pPr>
        <w:spacing w:after="120"/>
      </w:pPr>
      <w:r>
        <w:rPr>
          <w:rFonts w:ascii="Calibri" w:hAnsi="Calibri"/>
          <w:color w:val="1C242E"/>
          <w:sz w:val="21"/>
        </w:rPr>
        <w:t>Establecer los criterios y las actividades para identificar, segregar, evaluar, decidir la disposicion y registrar las salidas no conformes generadas en los procesos de diseno, comercializacion e instalacion de sistemas fotovoltaicos, con el fin de evitar su uso o entrega no intencionada y asegurar el cumplimiento de los requisitos del cliente y de la norma ISO 9001:2015, clausula 8.7.</w:t>
      </w:r>
    </w:p>
    <w:p>
      <w:pPr>
        <w:keepNext/>
        <w:spacing w:before="280" w:after="80"/>
        <w:pBdr>
          <w:bottom w:val="single" w:sz="8" w:color="F0E528"/>
        </w:pBdr>
      </w:pPr>
      <w:r>
        <w:rPr>
          <w:rFonts w:ascii="Georgia" w:hAnsi="Georgia"/>
          <w:b/>
          <w:color w:val="0056B4"/>
          <w:sz w:val="26"/>
        </w:rPr>
        <w:t>2. Alcance</w:t>
      </w:r>
    </w:p>
    <w:p>
      <w:pPr>
        <w:spacing w:after="120"/>
      </w:pPr>
      <w:r>
        <w:rPr>
          <w:rFonts w:ascii="Calibri" w:hAnsi="Calibri"/>
          <w:color w:val="1C242E"/>
          <w:sz w:val="21"/>
        </w:rPr>
        <w:t>Aplica a todas las salidas no conformes detectadas en cualquier etapa de la operacion de Soluciones Energeticas JEA, S.A. de C.V. (marcas SolarPro y Capital Climas), tanto en producto como en servicio, incluyendo material recibido en Almacen, equipo dispuesto para instalacion, obra en proceso o terminada, y servicio percibido por el cliente.</w:t>
      </w:r>
    </w:p>
    <w:p>
      <w:pPr>
        <w:spacing w:after="120"/>
      </w:pPr>
      <w:r>
        <w:rPr>
          <w:rFonts w:ascii="Calibri" w:hAnsi="Calibri"/>
          <w:color w:val="1C242E"/>
          <w:sz w:val="21"/>
        </w:rPr>
        <w:t>Cubre los tres tipos representativos de salida no conforme del giro:</w:t>
      </w:r>
    </w:p>
    <w:p>
      <w:pPr>
        <w:pStyle w:val="ListBullet"/>
      </w:pPr>
      <w:r>
        <w:rPr>
          <w:rFonts w:ascii="Calibri" w:hAnsi="Calibri"/>
          <w:sz w:val="20"/>
        </w:rPr>
        <w:t>Producto no conforme: panel, inversor, estructura, cableado o accesorio danado, incompleto o que no cumple especificacion (por ejemplo, panel golpeado en transito o con vidrio estrellado).</w:t>
      </w:r>
    </w:p>
    <w:p>
      <w:pPr>
        <w:pStyle w:val="ListBullet"/>
      </w:pPr>
      <w:r>
        <w:rPr>
          <w:rFonts w:ascii="Calibri" w:hAnsi="Calibri"/>
          <w:sz w:val="20"/>
        </w:rPr>
        <w:t>Servicio no conforme en instalacion: instalacion con falla o desviacion respecto al diseno o a la norma aplicable (por ejemplo, conexion incorrecta, fijacion deficiente, sistema que no genera lo esperado).</w:t>
      </w:r>
    </w:p>
    <w:p>
      <w:pPr>
        <w:pStyle w:val="ListBullet"/>
      </w:pPr>
      <w:r>
        <w:rPr>
          <w:rFonts w:ascii="Calibri" w:hAnsi="Calibri"/>
          <w:sz w:val="20"/>
        </w:rPr>
        <w:t>Servicio no conforme percibido por el cliente: cliente insatisfecho por producto, instalacion, tiempos o atencion, cuya reclamacion configura una salida no conforme a controlar.</w:t>
      </w:r>
    </w:p>
    <w:p>
      <w:pPr>
        <w:spacing w:after="120"/>
      </w:pPr>
      <w:r>
        <w:rPr>
          <w:rFonts w:ascii="Calibri" w:hAnsi="Calibri"/>
          <w:color w:val="1C242E"/>
          <w:sz w:val="21"/>
        </w:rPr>
        <w:t>Aplica en las sedes de Chihuahua y Ciudad Juarez, y a todas las areas cuyo trabajo pueda generar o detectar una salida no conforme: Coordinacion de Ingenieria, Coordinacion de Instalaciones y Operaciones, Almacen, Gerencia Comercial y Postventa.</w:t>
      </w:r>
    </w:p>
    <w:p>
      <w:pPr>
        <w:keepNext/>
        <w:spacing w:before="280" w:after="80"/>
        <w:pBdr>
          <w:bottom w:val="single" w:sz="8" w:color="F0E528"/>
        </w:pBdr>
      </w:pPr>
      <w:r>
        <w:rPr>
          <w:rFonts w:ascii="Georgia" w:hAnsi="Georgia"/>
          <w:b/>
          <w:color w:val="0056B4"/>
          <w:sz w:val="26"/>
        </w:rPr>
        <w:t>3. Definiciones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4986"/>
            <w:shd w:val="clear" w:fill="0056B4"/>
          </w:tcPr>
          <w:p>
            <w:pPr>
              <w:jc w:val="center"/>
            </w:pPr>
            <w:r/>
            <w:r>
              <w:rPr>
                <w:rFonts w:ascii="Calibri" w:hAnsi="Calibri"/>
                <w:b/>
                <w:color w:val="FFFFFF"/>
                <w:sz w:val="17"/>
              </w:rPr>
              <w:t>Termino</w:t>
            </w:r>
          </w:p>
        </w:tc>
        <w:tc>
          <w:tcPr>
            <w:tcW w:type="dxa" w:w="4986"/>
            <w:shd w:val="clear" w:fill="0056B4"/>
          </w:tcPr>
          <w:p>
            <w:pPr>
              <w:jc w:val="center"/>
            </w:pPr>
            <w:r/>
            <w:r>
              <w:rPr>
                <w:rFonts w:ascii="Calibri" w:hAnsi="Calibri"/>
                <w:b/>
                <w:color w:val="FFFFFF"/>
                <w:sz w:val="17"/>
              </w:rPr>
              <w:t>Definicion</w:t>
            </w:r>
          </w:p>
        </w:tc>
      </w:tr>
      <w:tr>
        <w:tc>
          <w:tcPr>
            <w:tcW w:type="dxa" w:w="4986"/>
          </w:tcPr>
          <w:p>
            <w:r/>
            <w:r>
              <w:rPr>
                <w:rFonts w:ascii="Calibri" w:hAnsi="Calibri"/>
                <w:b w:val="0"/>
                <w:sz w:val="19"/>
              </w:rPr>
              <w:t>Salida no conforme</w:t>
            </w:r>
          </w:p>
        </w:tc>
        <w:tc>
          <w:tcPr>
            <w:tcW w:type="dxa" w:w="4986"/>
          </w:tcPr>
          <w:p>
            <w:r/>
            <w:r>
              <w:rPr>
                <w:rFonts w:ascii="Calibri" w:hAnsi="Calibri"/>
                <w:b w:val="0"/>
                <w:sz w:val="19"/>
              </w:rPr>
              <w:t>Producto o servicio que no cumple uno o mas requisitos aplicables (del cliente, del diseno, legales o del SGC).</w:t>
            </w:r>
          </w:p>
        </w:tc>
      </w:tr>
      <w:tr>
        <w:tc>
          <w:tcPr>
            <w:tcW w:type="dxa" w:w="4986"/>
          </w:tcPr>
          <w:p>
            <w:r/>
            <w:r>
              <w:rPr>
                <w:rFonts w:ascii="Calibri" w:hAnsi="Calibri"/>
                <w:b w:val="0"/>
                <w:sz w:val="19"/>
              </w:rPr>
              <w:t>No conformidad</w:t>
            </w:r>
          </w:p>
        </w:tc>
        <w:tc>
          <w:tcPr>
            <w:tcW w:type="dxa" w:w="4986"/>
          </w:tcPr>
          <w:p>
            <w:r/>
            <w:r>
              <w:rPr>
                <w:rFonts w:ascii="Calibri" w:hAnsi="Calibri"/>
                <w:b w:val="0"/>
                <w:sz w:val="19"/>
              </w:rPr>
              <w:t>Incumplimiento de un requisito. Toda salida no conforme registra una no conformidad.</w:t>
            </w:r>
          </w:p>
        </w:tc>
      </w:tr>
      <w:tr>
        <w:tc>
          <w:tcPr>
            <w:tcW w:type="dxa" w:w="4986"/>
          </w:tcPr>
          <w:p>
            <w:r/>
            <w:r>
              <w:rPr>
                <w:rFonts w:ascii="Calibri" w:hAnsi="Calibri"/>
                <w:b w:val="0"/>
                <w:sz w:val="19"/>
              </w:rPr>
              <w:t>Identificacion</w:t>
            </w:r>
          </w:p>
        </w:tc>
        <w:tc>
          <w:tcPr>
            <w:tcW w:type="dxa" w:w="4986"/>
          </w:tcPr>
          <w:p>
            <w:r/>
            <w:r>
              <w:rPr>
                <w:rFonts w:ascii="Calibri" w:hAnsi="Calibri"/>
                <w:b w:val="0"/>
                <w:sz w:val="19"/>
              </w:rPr>
              <w:t>Accion de reconocer y marcar el producto o servicio no conforme para diferenciarlo del conforme.</w:t>
            </w:r>
          </w:p>
        </w:tc>
      </w:tr>
      <w:tr>
        <w:tc>
          <w:tcPr>
            <w:tcW w:type="dxa" w:w="4986"/>
          </w:tcPr>
          <w:p>
            <w:r/>
            <w:r>
              <w:rPr>
                <w:rFonts w:ascii="Calibri" w:hAnsi="Calibri"/>
                <w:b w:val="0"/>
                <w:sz w:val="19"/>
              </w:rPr>
              <w:t>Segregacion</w:t>
            </w:r>
          </w:p>
        </w:tc>
        <w:tc>
          <w:tcPr>
            <w:tcW w:type="dxa" w:w="4986"/>
          </w:tcPr>
          <w:p>
            <w:r/>
            <w:r>
              <w:rPr>
                <w:rFonts w:ascii="Calibri" w:hAnsi="Calibri"/>
                <w:b w:val="0"/>
                <w:sz w:val="19"/>
              </w:rPr>
              <w:t>Separacion fisica o de control del producto no conforme para impedir su uso, instalacion o entrega no intencionada.</w:t>
            </w:r>
          </w:p>
        </w:tc>
      </w:tr>
      <w:tr>
        <w:tc>
          <w:tcPr>
            <w:tcW w:type="dxa" w:w="4986"/>
          </w:tcPr>
          <w:p>
            <w:r/>
            <w:r>
              <w:rPr>
                <w:rFonts w:ascii="Calibri" w:hAnsi="Calibri"/>
                <w:b w:val="0"/>
                <w:sz w:val="19"/>
              </w:rPr>
              <w:t>Disposicion</w:t>
            </w:r>
          </w:p>
        </w:tc>
        <w:tc>
          <w:tcPr>
            <w:tcW w:type="dxa" w:w="4986"/>
          </w:tcPr>
          <w:p>
            <w:r/>
            <w:r>
              <w:rPr>
                <w:rFonts w:ascii="Calibri" w:hAnsi="Calibri"/>
                <w:b w:val="0"/>
                <w:sz w:val="19"/>
              </w:rPr>
              <w:t>Decision tomada sobre la salida no conforme: reparar, reemplazar, devolver, rehacer, aceptar bajo concesion o dar de baja.</w:t>
            </w:r>
          </w:p>
        </w:tc>
      </w:tr>
      <w:tr>
        <w:tc>
          <w:tcPr>
            <w:tcW w:type="dxa" w:w="4986"/>
          </w:tcPr>
          <w:p>
            <w:r/>
            <w:r>
              <w:rPr>
                <w:rFonts w:ascii="Calibri" w:hAnsi="Calibri"/>
                <w:b w:val="0"/>
                <w:sz w:val="19"/>
              </w:rPr>
              <w:t>Correccion</w:t>
            </w:r>
          </w:p>
        </w:tc>
        <w:tc>
          <w:tcPr>
            <w:tcW w:type="dxa" w:w="4986"/>
          </w:tcPr>
          <w:p>
            <w:r/>
            <w:r>
              <w:rPr>
                <w:rFonts w:ascii="Calibri" w:hAnsi="Calibri"/>
                <w:b w:val="0"/>
                <w:sz w:val="19"/>
              </w:rPr>
              <w:t>Accion para eliminar la no conformidad detectada (por ejemplo, reparar o rehacer). No elimina la causa.</w:t>
            </w:r>
          </w:p>
        </w:tc>
      </w:tr>
      <w:tr>
        <w:tc>
          <w:tcPr>
            <w:tcW w:type="dxa" w:w="4986"/>
          </w:tcPr>
          <w:p>
            <w:r/>
            <w:r>
              <w:rPr>
                <w:rFonts w:ascii="Calibri" w:hAnsi="Calibri"/>
                <w:b w:val="0"/>
                <w:sz w:val="19"/>
              </w:rPr>
              <w:t>Reproceso / rehacer</w:t>
            </w:r>
          </w:p>
        </w:tc>
        <w:tc>
          <w:tcPr>
            <w:tcW w:type="dxa" w:w="4986"/>
          </w:tcPr>
          <w:p>
            <w:r/>
            <w:r>
              <w:rPr>
                <w:rFonts w:ascii="Calibri" w:hAnsi="Calibri"/>
                <w:b w:val="0"/>
                <w:sz w:val="19"/>
              </w:rPr>
              <w:t>Accion sobre un producto o servicio no conforme para que cumpla los requisitos.</w:t>
            </w:r>
          </w:p>
        </w:tc>
      </w:tr>
      <w:tr>
        <w:tc>
          <w:tcPr>
            <w:tcW w:type="dxa" w:w="4986"/>
          </w:tcPr>
          <w:p>
            <w:r/>
            <w:r>
              <w:rPr>
                <w:rFonts w:ascii="Calibri" w:hAnsi="Calibri"/>
                <w:b w:val="0"/>
                <w:sz w:val="19"/>
              </w:rPr>
              <w:t>Concesion</w:t>
            </w:r>
          </w:p>
        </w:tc>
        <w:tc>
          <w:tcPr>
            <w:tcW w:type="dxa" w:w="4986"/>
          </w:tcPr>
          <w:p>
            <w:r/>
            <w:r>
              <w:rPr>
                <w:rFonts w:ascii="Calibri" w:hAnsi="Calibri"/>
                <w:b w:val="0"/>
                <w:sz w:val="19"/>
              </w:rPr>
              <w:t>Autorizacion para usar o liberar un producto o servicio que no cumple los requisitos especificados, dentro de limites definidos y con aprobacion de la autoridad competente y, cuando aplique, del cliente.</w:t>
            </w:r>
          </w:p>
        </w:tc>
      </w:tr>
      <w:tr>
        <w:tc>
          <w:tcPr>
            <w:tcW w:type="dxa" w:w="4986"/>
          </w:tcPr>
          <w:p>
            <w:r/>
            <w:r>
              <w:rPr>
                <w:rFonts w:ascii="Calibri" w:hAnsi="Calibri"/>
                <w:b w:val="0"/>
                <w:sz w:val="19"/>
              </w:rPr>
              <w:t>Accion correctiva</w:t>
            </w:r>
          </w:p>
        </w:tc>
        <w:tc>
          <w:tcPr>
            <w:tcW w:type="dxa" w:w="4986"/>
          </w:tcPr>
          <w:p>
            <w:r/>
            <w:r>
              <w:rPr>
                <w:rFonts w:ascii="Calibri" w:hAnsi="Calibri"/>
                <w:b w:val="0"/>
                <w:sz w:val="19"/>
              </w:rPr>
              <w:t>Accion para eliminar la causa de la no conformidad y evitar su recurrencia (ver PRO-AC-001).</w:t>
            </w:r>
          </w:p>
        </w:tc>
      </w:tr>
    </w:tbl>
    <w:p>
      <w:pPr>
        <w:keepNext/>
        <w:spacing w:before="280" w:after="80"/>
        <w:pBdr>
          <w:bottom w:val="single" w:sz="8" w:color="F0E528"/>
        </w:pBdr>
      </w:pPr>
      <w:r>
        <w:rPr>
          <w:rFonts w:ascii="Georgia" w:hAnsi="Georgia"/>
          <w:b/>
          <w:color w:val="0056B4"/>
          <w:sz w:val="26"/>
        </w:rPr>
        <w:t>4. Responsabilidades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4986"/>
            <w:shd w:val="clear" w:fill="0056B4"/>
          </w:tcPr>
          <w:p>
            <w:pPr>
              <w:jc w:val="center"/>
            </w:pPr>
            <w:r/>
            <w:r>
              <w:rPr>
                <w:rFonts w:ascii="Calibri" w:hAnsi="Calibri"/>
                <w:b/>
                <w:color w:val="FFFFFF"/>
                <w:sz w:val="17"/>
              </w:rPr>
              <w:t>Rol</w:t>
            </w:r>
          </w:p>
        </w:tc>
        <w:tc>
          <w:tcPr>
            <w:tcW w:type="dxa" w:w="4986"/>
            <w:shd w:val="clear" w:fill="0056B4"/>
          </w:tcPr>
          <w:p>
            <w:pPr>
              <w:jc w:val="center"/>
            </w:pPr>
            <w:r/>
            <w:r>
              <w:rPr>
                <w:rFonts w:ascii="Calibri" w:hAnsi="Calibri"/>
                <w:b/>
                <w:color w:val="FFFFFF"/>
                <w:sz w:val="17"/>
              </w:rPr>
              <w:t>Responsabilidad</w:t>
            </w:r>
          </w:p>
        </w:tc>
      </w:tr>
      <w:tr>
        <w:tc>
          <w:tcPr>
            <w:tcW w:type="dxa" w:w="4986"/>
          </w:tcPr>
          <w:p>
            <w:r/>
            <w:r>
              <w:rPr>
                <w:rFonts w:ascii="Calibri" w:hAnsi="Calibri"/>
                <w:b w:val="0"/>
                <w:sz w:val="19"/>
              </w:rPr>
              <w:t>Direccion General</w:t>
            </w:r>
          </w:p>
        </w:tc>
        <w:tc>
          <w:tcPr>
            <w:tcW w:type="dxa" w:w="4986"/>
          </w:tcPr>
          <w:p>
            <w:r/>
            <w:r>
              <w:rPr>
                <w:rFonts w:ascii="Calibri" w:hAnsi="Calibri"/>
                <w:b w:val="0"/>
                <w:sz w:val="19"/>
              </w:rPr>
              <w:t>Aprobar el procedimiento. Autorizar las disposiciones de mayor impacto y las aceptaciones bajo concesion cuando superen el limite delegado.</w:t>
            </w:r>
          </w:p>
        </w:tc>
      </w:tr>
      <w:tr>
        <w:tc>
          <w:tcPr>
            <w:tcW w:type="dxa" w:w="4986"/>
          </w:tcPr>
          <w:p>
            <w:r/>
            <w:r>
              <w:rPr>
                <w:rFonts w:ascii="Calibri" w:hAnsi="Calibri"/>
                <w:b w:val="0"/>
                <w:sz w:val="19"/>
              </w:rPr>
              <w:t>Responsable del procedimiento</w:t>
            </w:r>
          </w:p>
        </w:tc>
        <w:tc>
          <w:tcPr>
            <w:tcW w:type="dxa" w:w="4986"/>
          </w:tcPr>
          <w:p>
            <w:r/>
            <w:r>
              <w:rPr>
                <w:rFonts w:ascii="Calibri" w:hAnsi="Calibri"/>
                <w:b w:val="0"/>
                <w:sz w:val="19"/>
              </w:rPr>
              <w:t>Coordinar la aplicacion de este procedimiento, asegurar que las salidas no conformes se registren, dar seguimiento a la disposicion hasta su cierre y consolidar la informacion para revision.</w:t>
            </w:r>
          </w:p>
        </w:tc>
      </w:tr>
      <w:tr>
        <w:tc>
          <w:tcPr>
            <w:tcW w:type="dxa" w:w="4986"/>
          </w:tcPr>
          <w:p>
            <w:r/>
            <w:r>
              <w:rPr>
                <w:rFonts w:ascii="Calibri" w:hAnsi="Calibri"/>
                <w:b w:val="0"/>
                <w:sz w:val="19"/>
              </w:rPr>
              <w:t>Coordinacion de Ingenieria</w:t>
            </w:r>
          </w:p>
        </w:tc>
        <w:tc>
          <w:tcPr>
            <w:tcW w:type="dxa" w:w="4986"/>
          </w:tcPr>
          <w:p>
            <w:r/>
            <w:r>
              <w:rPr>
                <w:rFonts w:ascii="Calibri" w:hAnsi="Calibri"/>
                <w:b w:val="0"/>
                <w:sz w:val="19"/>
              </w:rPr>
              <w:t>Evaluar la conformidad tecnica, definir la disposicion en producto y en diseno, y realizar la evaluacion y el dictamen tecnico de las salidas no conformes relacionadas con el desempeno del sistema. La determinacion de la procedencia y la gestion de las garantias corresponde a Postventa conforme a PRO-PVM-05 (Garantias y Lecciones Aprendidas) y FOR-PVM-04 (Determinacion de Garantia); Ingenieria participa unicamente con la evaluacion tecnica cuando se le solicita.</w:t>
            </w:r>
          </w:p>
        </w:tc>
      </w:tr>
      <w:tr>
        <w:tc>
          <w:tcPr>
            <w:tcW w:type="dxa" w:w="4986"/>
          </w:tcPr>
          <w:p>
            <w:r/>
            <w:r>
              <w:rPr>
                <w:rFonts w:ascii="Calibri" w:hAnsi="Calibri"/>
                <w:b w:val="0"/>
                <w:sz w:val="19"/>
              </w:rPr>
              <w:t>Coordinacion de Instalaciones y Operaciones</w:t>
            </w:r>
          </w:p>
        </w:tc>
        <w:tc>
          <w:tcPr>
            <w:tcW w:type="dxa" w:w="4986"/>
          </w:tcPr>
          <w:p>
            <w:r/>
            <w:r>
              <w:rPr>
                <w:rFonts w:ascii="Calibri" w:hAnsi="Calibri"/>
                <w:b w:val="0"/>
                <w:sz w:val="19"/>
              </w:rPr>
              <w:t>Detectar y reportar fallas en obra, ejecutar reparaciones o retrabajos autorizados y verificar la instalacion corregida.</w:t>
            </w:r>
          </w:p>
        </w:tc>
      </w:tr>
      <w:tr>
        <w:tc>
          <w:tcPr>
            <w:tcW w:type="dxa" w:w="4986"/>
          </w:tcPr>
          <w:p>
            <w:r/>
            <w:r>
              <w:rPr>
                <w:rFonts w:ascii="Calibri" w:hAnsi="Calibri"/>
                <w:b w:val="0"/>
                <w:sz w:val="19"/>
              </w:rPr>
              <w:t>Almacen</w:t>
            </w:r>
          </w:p>
        </w:tc>
        <w:tc>
          <w:tcPr>
            <w:tcW w:type="dxa" w:w="4986"/>
          </w:tcPr>
          <w:p>
            <w:r/>
            <w:r>
              <w:rPr>
                <w:rFonts w:ascii="Calibri" w:hAnsi="Calibri"/>
                <w:b w:val="0"/>
                <w:sz w:val="19"/>
              </w:rPr>
              <w:t>Identificar y segregar producto danado o no conforme a la recepcion o en resguardo conforme a PRO-ALM-01 (Recepcion e Inspeccion) y FOR-ALM-03 (No Conformidad de Recepcion), y controlar su devolucion o baja.</w:t>
            </w:r>
          </w:p>
        </w:tc>
      </w:tr>
      <w:tr>
        <w:tc>
          <w:tcPr>
            <w:tcW w:type="dxa" w:w="4986"/>
          </w:tcPr>
          <w:p>
            <w:r/>
            <w:r>
              <w:rPr>
                <w:rFonts w:ascii="Calibri" w:hAnsi="Calibri"/>
                <w:b w:val="0"/>
                <w:sz w:val="19"/>
              </w:rPr>
              <w:t>Gerencia Comercial</w:t>
            </w:r>
          </w:p>
        </w:tc>
        <w:tc>
          <w:tcPr>
            <w:tcW w:type="dxa" w:w="4986"/>
          </w:tcPr>
          <w:p>
            <w:r/>
            <w:r>
              <w:rPr>
                <w:rFonts w:ascii="Calibri" w:hAnsi="Calibri"/>
                <w:b w:val="0"/>
                <w:sz w:val="19"/>
              </w:rPr>
              <w:t>Recibir y canalizar la insatisfaccion del cliente, comunicar al cliente la disposicion cuando corresponda y gestionar acuerdos comerciales asociados.</w:t>
            </w:r>
          </w:p>
        </w:tc>
      </w:tr>
      <w:tr>
        <w:tc>
          <w:tcPr>
            <w:tcW w:type="dxa" w:w="4986"/>
          </w:tcPr>
          <w:p>
            <w:r/>
            <w:r>
              <w:rPr>
                <w:rFonts w:ascii="Calibri" w:hAnsi="Calibri"/>
                <w:b w:val="0"/>
                <w:sz w:val="19"/>
              </w:rPr>
              <w:t>Postventa</w:t>
            </w:r>
          </w:p>
        </w:tc>
        <w:tc>
          <w:tcPr>
            <w:tcW w:type="dxa" w:w="4986"/>
          </w:tcPr>
          <w:p>
            <w:r/>
            <w:r>
              <w:rPr>
                <w:rFonts w:ascii="Calibri" w:hAnsi="Calibri"/>
                <w:b w:val="0"/>
                <w:sz w:val="19"/>
              </w:rPr>
              <w:t>Recibir reclamaciones posteriores a la entrega, registrarlas como salidas no conformes, determinar la procedencia y gestionar las garantias conforme a PRO-PVM-05 y FOR-PVM-04, y coordinar con Ingenieria y Operaciones la atencion tecnica.</w:t>
            </w:r>
          </w:p>
        </w:tc>
      </w:tr>
      <w:tr>
        <w:tc>
          <w:tcPr>
            <w:tcW w:type="dxa" w:w="4986"/>
          </w:tcPr>
          <w:p>
            <w:r/>
            <w:r>
              <w:rPr>
                <w:rFonts w:ascii="Calibri" w:hAnsi="Calibri"/>
                <w:b w:val="0"/>
                <w:sz w:val="19"/>
              </w:rPr>
              <w:t>Gerencia Administrativa</w:t>
            </w:r>
          </w:p>
        </w:tc>
        <w:tc>
          <w:tcPr>
            <w:tcW w:type="dxa" w:w="4986"/>
          </w:tcPr>
          <w:p>
            <w:r/>
            <w:r>
              <w:rPr>
                <w:rFonts w:ascii="Calibri" w:hAnsi="Calibri"/>
                <w:b w:val="0"/>
                <w:sz w:val="19"/>
              </w:rPr>
              <w:t>Como custodio del SGC, resguardar los registros de salidas no conformes y verificar su uso durante auditorias y revision por la direccion.</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Confirmar la estructura organizacional de este procedimiento contra el Manual de Calidad MC-SP-01, en particular si Instalaciones y Operaciones constituyen un solo rol (Coordinacion de Instalaciones y Operaciones) o dos roles independientes. Alinear la denominacion usada en todo el procedimiento con la que resuelva el Manual de Calidad.</w:t>
            </w:r>
          </w:p>
        </w:tc>
      </w:tr>
    </w:tbl>
    <w:p>
      <w:pPr>
        <w:spacing w:after="40"/>
      </w:pPr>
    </w:p>
    <w:p>
      <w:pPr>
        <w:keepNext/>
        <w:spacing w:before="280" w:after="80"/>
        <w:pBdr>
          <w:bottom w:val="single" w:sz="8" w:color="F0E528"/>
        </w:pBdr>
      </w:pPr>
      <w:r>
        <w:rPr>
          <w:rFonts w:ascii="Georgia" w:hAnsi="Georgia"/>
          <w:b/>
          <w:color w:val="0056B4"/>
          <w:sz w:val="26"/>
        </w:rPr>
        <w:t>5. Desarrollo</w:t>
      </w:r>
    </w:p>
    <w:p>
      <w:pPr>
        <w:keepNext/>
        <w:spacing w:before="200" w:after="60"/>
      </w:pPr>
      <w:r>
        <w:rPr>
          <w:rFonts w:ascii="Georgia" w:hAnsi="Georgia"/>
          <w:b/>
          <w:color w:val="1C242E"/>
          <w:sz w:val="22"/>
        </w:rPr>
        <w:t>5.1 Identificacion de la salida no conforme</w:t>
      </w:r>
    </w:p>
    <w:p>
      <w:pPr>
        <w:spacing w:after="120"/>
      </w:pPr>
      <w:r>
        <w:rPr>
          <w:rFonts w:ascii="Calibri" w:hAnsi="Calibri"/>
          <w:color w:val="1C242E"/>
          <w:sz w:val="21"/>
        </w:rPr>
        <w:t>Cualquier colaborador que detecte un producto o servicio que no cumple los requisitos debe identificarlo de inmediato y notificar al responsable del area. La identificacion evita que la salida no conforme continue en el flujo (instalacion o entrega) mientras se decide su disposicion.</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324"/>
        <w:gridCol w:w="3324"/>
        <w:gridCol w:w="3324"/>
      </w:tblGrid>
      <w:tr>
        <w:tc>
          <w:tcPr>
            <w:tcW w:type="dxa" w:w="3324"/>
            <w:shd w:val="clear" w:fill="0056B4"/>
          </w:tcPr>
          <w:p>
            <w:pPr>
              <w:jc w:val="center"/>
            </w:pPr>
            <w:r/>
            <w:r>
              <w:rPr>
                <w:rFonts w:ascii="Calibri" w:hAnsi="Calibri"/>
                <w:b/>
                <w:color w:val="FFFFFF"/>
                <w:sz w:val="17"/>
              </w:rPr>
              <w:t>Tipo de salida no conforme</w:t>
            </w:r>
          </w:p>
        </w:tc>
        <w:tc>
          <w:tcPr>
            <w:tcW w:type="dxa" w:w="3324"/>
            <w:shd w:val="clear" w:fill="0056B4"/>
          </w:tcPr>
          <w:p>
            <w:pPr>
              <w:jc w:val="center"/>
            </w:pPr>
            <w:r/>
            <w:r>
              <w:rPr>
                <w:rFonts w:ascii="Calibri" w:hAnsi="Calibri"/>
                <w:b/>
                <w:color w:val="FFFFFF"/>
                <w:sz w:val="17"/>
              </w:rPr>
              <w:t>Como se identifica</w:t>
            </w:r>
          </w:p>
        </w:tc>
        <w:tc>
          <w:tcPr>
            <w:tcW w:type="dxa" w:w="3324"/>
            <w:shd w:val="clear" w:fill="0056B4"/>
          </w:tcPr>
          <w:p>
            <w:pPr>
              <w:jc w:val="center"/>
            </w:pPr>
            <w:r/>
            <w:r>
              <w:rPr>
                <w:rFonts w:ascii="Calibri" w:hAnsi="Calibri"/>
                <w:b/>
                <w:color w:val="FFFFFF"/>
                <w:sz w:val="17"/>
              </w:rPr>
              <w:t>Quien identifica</w:t>
            </w:r>
          </w:p>
        </w:tc>
      </w:tr>
      <w:tr>
        <w:tc>
          <w:tcPr>
            <w:tcW w:type="dxa" w:w="3324"/>
          </w:tcPr>
          <w:p>
            <w:r/>
            <w:r>
              <w:rPr>
                <w:rFonts w:ascii="Calibri" w:hAnsi="Calibri"/>
                <w:b w:val="0"/>
                <w:sz w:val="19"/>
              </w:rPr>
              <w:t>Panel o equipo danado</w:t>
            </w:r>
          </w:p>
        </w:tc>
        <w:tc>
          <w:tcPr>
            <w:tcW w:type="dxa" w:w="3324"/>
          </w:tcPr>
          <w:p>
            <w:r/>
            <w:r>
              <w:rPr>
                <w:rFonts w:ascii="Calibri" w:hAnsi="Calibri"/>
                <w:b w:val="0"/>
                <w:sz w:val="19"/>
              </w:rPr>
              <w:t>Inspeccion de recepcion, conteo o revision visual en resguardo o previo a instalacion (empaque roto, vidrio estrellado, golpes, faltantes, numero de serie o modelo incorrecto).</w:t>
            </w:r>
          </w:p>
        </w:tc>
        <w:tc>
          <w:tcPr>
            <w:tcW w:type="dxa" w:w="3324"/>
          </w:tcPr>
          <w:p>
            <w:r/>
            <w:r>
              <w:rPr>
                <w:rFonts w:ascii="Calibri" w:hAnsi="Calibri"/>
                <w:b w:val="0"/>
                <w:sz w:val="19"/>
              </w:rPr>
              <w:t>Almacen / Coordinacion de Instalaciones</w:t>
            </w:r>
          </w:p>
        </w:tc>
      </w:tr>
      <w:tr>
        <w:tc>
          <w:tcPr>
            <w:tcW w:type="dxa" w:w="3324"/>
          </w:tcPr>
          <w:p>
            <w:r/>
            <w:r>
              <w:rPr>
                <w:rFonts w:ascii="Calibri" w:hAnsi="Calibri"/>
                <w:b w:val="0"/>
                <w:sz w:val="19"/>
              </w:rPr>
              <w:t>Instalacion con falla</w:t>
            </w:r>
          </w:p>
        </w:tc>
        <w:tc>
          <w:tcPr>
            <w:tcW w:type="dxa" w:w="3324"/>
          </w:tcPr>
          <w:p>
            <w:r/>
            <w:r>
              <w:rPr>
                <w:rFonts w:ascii="Calibri" w:hAnsi="Calibri"/>
                <w:b w:val="0"/>
                <w:sz w:val="19"/>
              </w:rPr>
              <w:t>Verificacion en obra o puesta en marcha contra el diseno y la norma aplicable (conexiones, fijacion, generacion esperada, pruebas).</w:t>
            </w:r>
          </w:p>
        </w:tc>
        <w:tc>
          <w:tcPr>
            <w:tcW w:type="dxa" w:w="3324"/>
          </w:tcPr>
          <w:p>
            <w:r/>
            <w:r>
              <w:rPr>
                <w:rFonts w:ascii="Calibri" w:hAnsi="Calibri"/>
                <w:b w:val="0"/>
                <w:sz w:val="19"/>
              </w:rPr>
              <w:t>Coordinacion de Instalaciones y Operaciones / Ingenieria</w:t>
            </w:r>
          </w:p>
        </w:tc>
      </w:tr>
      <w:tr>
        <w:tc>
          <w:tcPr>
            <w:tcW w:type="dxa" w:w="3324"/>
          </w:tcPr>
          <w:p>
            <w:r/>
            <w:r>
              <w:rPr>
                <w:rFonts w:ascii="Calibri" w:hAnsi="Calibri"/>
                <w:b w:val="0"/>
                <w:sz w:val="19"/>
              </w:rPr>
              <w:t>Cliente insatisfecho</w:t>
            </w:r>
          </w:p>
        </w:tc>
        <w:tc>
          <w:tcPr>
            <w:tcW w:type="dxa" w:w="3324"/>
          </w:tcPr>
          <w:p>
            <w:r/>
            <w:r>
              <w:rPr>
                <w:rFonts w:ascii="Calibri" w:hAnsi="Calibri"/>
                <w:b w:val="0"/>
                <w:sz w:val="19"/>
              </w:rPr>
              <w:t>Reclamacion o queja recibida por cualquier canal (comercial, telefono, correo, visita) antes o despues de la entrega.</w:t>
            </w:r>
          </w:p>
        </w:tc>
        <w:tc>
          <w:tcPr>
            <w:tcW w:type="dxa" w:w="3324"/>
          </w:tcPr>
          <w:p>
            <w:r/>
            <w:r>
              <w:rPr>
                <w:rFonts w:ascii="Calibri" w:hAnsi="Calibri"/>
                <w:b w:val="0"/>
                <w:sz w:val="19"/>
              </w:rPr>
              <w:t>Gerencia Comercial / Postventa</w:t>
            </w:r>
          </w:p>
        </w:tc>
      </w:tr>
    </w:tbl>
    <w:p>
      <w:pPr>
        <w:spacing w:after="120"/>
      </w:pPr>
      <w:r>
        <w:rPr>
          <w:rFonts w:ascii="Calibri" w:hAnsi="Calibri"/>
          <w:color w:val="1C242E"/>
          <w:sz w:val="21"/>
        </w:rPr>
        <w:t>Para el material recibido en Almacen, la identificacion e inspeccion de recepcion y el registro de la no conformidad correspondiente se realizan conforme a PRO-ALM-01 (Recepcion e Inspeccion) y FOR-ALM-03 (No Conformidad de Recepcion). Este procedimiento retoma esa deteccion para dar seguimiento a la disposicion y al cierre de la salida no conforme, sin duplicar el registro que ya cubre FOR-ALM-03.</w:t>
      </w:r>
    </w:p>
    <w:p>
      <w:pPr>
        <w:spacing w:after="120"/>
      </w:pPr>
      <w:r>
        <w:rPr>
          <w:rFonts w:ascii="Calibri" w:hAnsi="Calibri"/>
          <w:color w:val="1C242E"/>
          <w:sz w:val="21"/>
        </w:rPr>
        <w:t>Toda salida no conforme identificada se documenta en el Formato de registro de salidas no conformes (seccion 6) y se refleja en la Bitacora de no conformidades REG-NCA-001.</w:t>
      </w:r>
    </w:p>
    <w:p>
      <w:pPr>
        <w:keepNext/>
        <w:spacing w:before="200" w:after="60"/>
      </w:pPr>
      <w:r>
        <w:rPr>
          <w:rFonts w:ascii="Georgia" w:hAnsi="Georgia"/>
          <w:b/>
          <w:color w:val="1C242E"/>
          <w:sz w:val="22"/>
        </w:rPr>
        <w:t>5.2 Segregacion y contencion</w:t>
      </w:r>
    </w:p>
    <w:p>
      <w:pPr>
        <w:spacing w:after="120"/>
      </w:pPr>
      <w:r>
        <w:rPr>
          <w:rFonts w:ascii="Calibri" w:hAnsi="Calibri"/>
          <w:color w:val="1C242E"/>
          <w:sz w:val="21"/>
        </w:rPr>
        <w:t>Una vez identificado, el producto no conforme se separa fisicamente o se marca de forma visible para impedir su uso o instalacion no intencionada. Cuando la separacion fisica no es posible (por ejemplo, obra ya ejecutada), se aplica una contencion de control: se detiene la etapa siguiente, se comunica a las areas involucradas y se registra el estatus de retencion.</w:t>
      </w:r>
    </w:p>
    <w:p>
      <w:pPr>
        <w:pStyle w:val="ListBullet"/>
      </w:pPr>
      <w:r>
        <w:rPr>
          <w:rFonts w:ascii="Calibri" w:hAnsi="Calibri"/>
          <w:sz w:val="20"/>
        </w:rPr>
        <w:t>Producto en Almacen: se coloca en area o zona identificada de material no conforme o retenido, con la etiqueta o marca correspondiente.</w:t>
      </w:r>
    </w:p>
    <w:p>
      <w:pPr>
        <w:pStyle w:val="ListBullet"/>
      </w:pPr>
      <w:r>
        <w:rPr>
          <w:rFonts w:ascii="Calibri" w:hAnsi="Calibri"/>
          <w:sz w:val="20"/>
        </w:rPr>
        <w:t>Producto ya en obra: se suspende su instalacion y se rotula o resguarda hasta la decision de disposicion.</w:t>
      </w:r>
    </w:p>
    <w:p>
      <w:pPr>
        <w:pStyle w:val="ListBullet"/>
      </w:pPr>
      <w:r>
        <w:rPr>
          <w:rFonts w:ascii="Calibri" w:hAnsi="Calibri"/>
          <w:sz w:val="20"/>
        </w:rPr>
        <w:t>Instalacion con falla: se suspende la puesta en marcha o entrega y se documenta el punto de la desviacion.</w:t>
      </w:r>
    </w:p>
    <w:p>
      <w:pPr>
        <w:pStyle w:val="ListBullet"/>
      </w:pPr>
      <w:r>
        <w:rPr>
          <w:rFonts w:ascii="Calibri" w:hAnsi="Calibri"/>
          <w:sz w:val="20"/>
        </w:rPr>
        <w:t>Reclamacion de cliente: se detiene cualquier cierre administrativo o comercial pendiente hasta resolver la disposicion.</w:t>
      </w: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Confirmar el metodo fisico de marcado y segregacion que aun no cubren PRO-ALM-01 ni FOR-ALM-03, en particular para producto ya en obra y para las zonas de resguardo (por ejemplo, tarjeta o etiqueta de retencion, color y zona delimitada de material no conforme), para estandarizarlo entre las sedes de Chihuahua y Ciudad Juarez. La identificacion y el formato de no conformidad en la recepcion de Almacen ya estan cubiertos por PRO-ALM-01 y FOR-ALM-03.</w:t>
            </w:r>
          </w:p>
        </w:tc>
      </w:tr>
    </w:tbl>
    <w:p>
      <w:pPr>
        <w:spacing w:after="40"/>
      </w:pPr>
    </w:p>
    <w:p>
      <w:pPr>
        <w:keepNext/>
        <w:spacing w:before="200" w:after="60"/>
      </w:pPr>
      <w:r>
        <w:rPr>
          <w:rFonts w:ascii="Georgia" w:hAnsi="Georgia"/>
          <w:b/>
          <w:color w:val="1C242E"/>
          <w:sz w:val="22"/>
        </w:rPr>
        <w:t>5.3 Evaluacion y decision de disposicion</w:t>
      </w:r>
    </w:p>
    <w:p>
      <w:pPr>
        <w:spacing w:after="120"/>
      </w:pPr>
      <w:r>
        <w:rPr>
          <w:rFonts w:ascii="Calibri" w:hAnsi="Calibri"/>
          <w:color w:val="1C242E"/>
          <w:sz w:val="21"/>
        </w:rPr>
        <w:t>El responsable tecnico (Coordinacion de Ingenieria o de Instalaciones segun el caso) evalua la salida no conforme y determina la disposicion. La decision considera la naturaleza del defecto, el impacto en seguridad y desempeno del sistema, el costo, el tiempo, la relacion con el proveedor y el requisito del cliente. Las opciones de disposicion son:</w:t>
      </w:r>
    </w:p>
    <w:p>
      <w:pPr>
        <w:pStyle w:val="ListNumber"/>
      </w:pPr>
      <w:r>
        <w:rPr>
          <w:b/>
          <w:sz w:val="20"/>
        </w:rPr>
        <w:t xml:space="preserve">Reparar. </w:t>
      </w:r>
      <w:r>
        <w:rPr>
          <w:rFonts w:ascii="Calibri" w:hAnsi="Calibri"/>
          <w:sz w:val="20"/>
        </w:rPr>
        <w:t>Corregir el producto o la instalacion para que cumpla el requisito, cuando el defecto es subsanable y la reparacion no compromete seguridad ni desempeno.</w:t>
      </w:r>
    </w:p>
    <w:p>
      <w:pPr>
        <w:pStyle w:val="ListNumber"/>
      </w:pPr>
      <w:r>
        <w:rPr>
          <w:b/>
          <w:sz w:val="20"/>
        </w:rPr>
        <w:t xml:space="preserve">Reemplazar. </w:t>
      </w:r>
      <w:r>
        <w:rPr>
          <w:rFonts w:ascii="Calibri" w:hAnsi="Calibri"/>
          <w:sz w:val="20"/>
        </w:rPr>
        <w:t>Sustituir el equipo o componente danado por uno conforme, cuando la reparacion no es viable o no garantiza el cumplimiento.</w:t>
      </w:r>
    </w:p>
    <w:p>
      <w:pPr>
        <w:pStyle w:val="ListNumber"/>
      </w:pPr>
      <w:r>
        <w:rPr>
          <w:b/>
          <w:sz w:val="20"/>
        </w:rPr>
        <w:t xml:space="preserve">Devolver. </w:t>
      </w:r>
      <w:r>
        <w:rPr>
          <w:rFonts w:ascii="Calibri" w:hAnsi="Calibri"/>
          <w:sz w:val="20"/>
        </w:rPr>
        <w:t>Retornar el producto al proveedor cuando el defecto es de origen (recepcion), conforme al Procedimiento de proveedores PRO-PRV-001, gestionando reposicion o nota de credito.</w:t>
      </w:r>
    </w:p>
    <w:p>
      <w:pPr>
        <w:pStyle w:val="ListNumber"/>
      </w:pPr>
      <w:r>
        <w:rPr>
          <w:b/>
          <w:sz w:val="20"/>
        </w:rPr>
        <w:t xml:space="preserve">Rehacer. </w:t>
      </w:r>
      <w:r>
        <w:rPr>
          <w:rFonts w:ascii="Calibri" w:hAnsi="Calibri"/>
          <w:sz w:val="20"/>
        </w:rPr>
        <w:t>Ejecutar de nuevo la actividad de instalacion o el retrabajo en obra cuando el servicio no cumple el diseno o la norma aplicable.</w:t>
      </w:r>
    </w:p>
    <w:p>
      <w:pPr>
        <w:spacing w:after="120"/>
      </w:pPr>
      <w:r>
        <w:rPr>
          <w:rFonts w:ascii="Calibri" w:hAnsi="Calibri"/>
          <w:color w:val="1C242E"/>
          <w:sz w:val="21"/>
        </w:rPr>
        <w:t>De forma complementaria, cuando el desvio no afecta seguridad, funcionalidad ni el requisito esencial del cliente, la salida no conforme puede aceptarse bajo concesion (seccion 5.4). Si el producto no es recuperable ni devolvible, se dispone su baja documentada.</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324"/>
        <w:gridCol w:w="3324"/>
        <w:gridCol w:w="3324"/>
      </w:tblGrid>
      <w:tr>
        <w:tc>
          <w:tcPr>
            <w:tcW w:type="dxa" w:w="3324"/>
            <w:shd w:val="clear" w:fill="0056B4"/>
          </w:tcPr>
          <w:p>
            <w:pPr>
              <w:jc w:val="center"/>
            </w:pPr>
            <w:r/>
            <w:r>
              <w:rPr>
                <w:rFonts w:ascii="Calibri" w:hAnsi="Calibri"/>
                <w:b/>
                <w:color w:val="FFFFFF"/>
                <w:sz w:val="17"/>
              </w:rPr>
              <w:t>Tipo de salida no conforme</w:t>
            </w:r>
          </w:p>
        </w:tc>
        <w:tc>
          <w:tcPr>
            <w:tcW w:type="dxa" w:w="3324"/>
            <w:shd w:val="clear" w:fill="0056B4"/>
          </w:tcPr>
          <w:p>
            <w:pPr>
              <w:jc w:val="center"/>
            </w:pPr>
            <w:r/>
            <w:r>
              <w:rPr>
                <w:rFonts w:ascii="Calibri" w:hAnsi="Calibri"/>
                <w:b/>
                <w:color w:val="FFFFFF"/>
                <w:sz w:val="17"/>
              </w:rPr>
              <w:t>Disposiciones tipicas</w:t>
            </w:r>
          </w:p>
        </w:tc>
        <w:tc>
          <w:tcPr>
            <w:tcW w:type="dxa" w:w="3324"/>
            <w:shd w:val="clear" w:fill="0056B4"/>
          </w:tcPr>
          <w:p>
            <w:pPr>
              <w:jc w:val="center"/>
            </w:pPr>
            <w:r/>
            <w:r>
              <w:rPr>
                <w:rFonts w:ascii="Calibri" w:hAnsi="Calibri"/>
                <w:b/>
                <w:color w:val="FFFFFF"/>
                <w:sz w:val="17"/>
              </w:rPr>
              <w:t>Autoriza</w:t>
            </w:r>
          </w:p>
        </w:tc>
      </w:tr>
      <w:tr>
        <w:tc>
          <w:tcPr>
            <w:tcW w:type="dxa" w:w="3324"/>
          </w:tcPr>
          <w:p>
            <w:r/>
            <w:r>
              <w:rPr>
                <w:rFonts w:ascii="Calibri" w:hAnsi="Calibri"/>
                <w:b w:val="0"/>
                <w:sz w:val="19"/>
              </w:rPr>
              <w:t>Panel o equipo danado en recepcion</w:t>
            </w:r>
          </w:p>
        </w:tc>
        <w:tc>
          <w:tcPr>
            <w:tcW w:type="dxa" w:w="3324"/>
          </w:tcPr>
          <w:p>
            <w:r/>
            <w:r>
              <w:rPr>
                <w:rFonts w:ascii="Calibri" w:hAnsi="Calibri"/>
                <w:b w:val="0"/>
                <w:sz w:val="19"/>
              </w:rPr>
              <w:t>Devolver al proveedor o reemplazar</w:t>
            </w:r>
          </w:p>
        </w:tc>
        <w:tc>
          <w:tcPr>
            <w:tcW w:type="dxa" w:w="3324"/>
          </w:tcPr>
          <w:p>
            <w:r/>
            <w:r>
              <w:rPr>
                <w:rFonts w:ascii="Calibri" w:hAnsi="Calibri"/>
                <w:b w:val="0"/>
                <w:sz w:val="19"/>
              </w:rPr>
              <w:t>Coordinacion de Ingenieria / Almacen (segun monto)</w:t>
            </w:r>
          </w:p>
        </w:tc>
      </w:tr>
      <w:tr>
        <w:tc>
          <w:tcPr>
            <w:tcW w:type="dxa" w:w="3324"/>
          </w:tcPr>
          <w:p>
            <w:r/>
            <w:r>
              <w:rPr>
                <w:rFonts w:ascii="Calibri" w:hAnsi="Calibri"/>
                <w:b w:val="0"/>
                <w:sz w:val="19"/>
              </w:rPr>
              <w:t>Panel o equipo danado en resguardo u obra</w:t>
            </w:r>
          </w:p>
        </w:tc>
        <w:tc>
          <w:tcPr>
            <w:tcW w:type="dxa" w:w="3324"/>
          </w:tcPr>
          <w:p>
            <w:r/>
            <w:r>
              <w:rPr>
                <w:rFonts w:ascii="Calibri" w:hAnsi="Calibri"/>
                <w:b w:val="0"/>
                <w:sz w:val="19"/>
              </w:rPr>
              <w:t>Reemplazar o reparar; baja si no es recuperable</w:t>
            </w:r>
          </w:p>
        </w:tc>
        <w:tc>
          <w:tcPr>
            <w:tcW w:type="dxa" w:w="3324"/>
          </w:tcPr>
          <w:p>
            <w:r/>
            <w:r>
              <w:rPr>
                <w:rFonts w:ascii="Calibri" w:hAnsi="Calibri"/>
                <w:b w:val="0"/>
                <w:sz w:val="19"/>
              </w:rPr>
              <w:t>Coordinacion de Ingenieria</w:t>
            </w:r>
          </w:p>
        </w:tc>
      </w:tr>
      <w:tr>
        <w:tc>
          <w:tcPr>
            <w:tcW w:type="dxa" w:w="3324"/>
          </w:tcPr>
          <w:p>
            <w:r/>
            <w:r>
              <w:rPr>
                <w:rFonts w:ascii="Calibri" w:hAnsi="Calibri"/>
                <w:b w:val="0"/>
                <w:sz w:val="19"/>
              </w:rPr>
              <w:t>Instalacion con falla</w:t>
            </w:r>
          </w:p>
        </w:tc>
        <w:tc>
          <w:tcPr>
            <w:tcW w:type="dxa" w:w="3324"/>
          </w:tcPr>
          <w:p>
            <w:r/>
            <w:r>
              <w:rPr>
                <w:rFonts w:ascii="Calibri" w:hAnsi="Calibri"/>
                <w:b w:val="0"/>
                <w:sz w:val="19"/>
              </w:rPr>
              <w:t>Reparar o rehacer, con verificacion posterior</w:t>
            </w:r>
          </w:p>
        </w:tc>
        <w:tc>
          <w:tcPr>
            <w:tcW w:type="dxa" w:w="3324"/>
          </w:tcPr>
          <w:p>
            <w:r/>
            <w:r>
              <w:rPr>
                <w:rFonts w:ascii="Calibri" w:hAnsi="Calibri"/>
                <w:b w:val="0"/>
                <w:sz w:val="19"/>
              </w:rPr>
              <w:t>Coordinacion de Instalaciones y Operaciones / Ingenieria</w:t>
            </w:r>
          </w:p>
        </w:tc>
      </w:tr>
      <w:tr>
        <w:tc>
          <w:tcPr>
            <w:tcW w:type="dxa" w:w="3324"/>
          </w:tcPr>
          <w:p>
            <w:r/>
            <w:r>
              <w:rPr>
                <w:rFonts w:ascii="Calibri" w:hAnsi="Calibri"/>
                <w:b w:val="0"/>
                <w:sz w:val="19"/>
              </w:rPr>
              <w:t>Cliente insatisfecho</w:t>
            </w:r>
          </w:p>
        </w:tc>
        <w:tc>
          <w:tcPr>
            <w:tcW w:type="dxa" w:w="3324"/>
          </w:tcPr>
          <w:p>
            <w:r/>
            <w:r>
              <w:rPr>
                <w:rFonts w:ascii="Calibri" w:hAnsi="Calibri"/>
                <w:b w:val="0"/>
                <w:sz w:val="19"/>
              </w:rPr>
              <w:t>Reparar, rehacer, reemplazar o acuerdo con el cliente segun procedencia</w:t>
            </w:r>
          </w:p>
        </w:tc>
        <w:tc>
          <w:tcPr>
            <w:tcW w:type="dxa" w:w="3324"/>
          </w:tcPr>
          <w:p>
            <w:r/>
            <w:r>
              <w:rPr>
                <w:rFonts w:ascii="Calibri" w:hAnsi="Calibri"/>
                <w:b w:val="0"/>
                <w:sz w:val="19"/>
              </w:rPr>
              <w:t>Gerencia Comercial con Ingenieria / Postventa</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Definir los montos o niveles de autorizacion por rol (limite delegado a Coordinacion frente a decisiones que requieren Direccion General) para aprobar cada tipo de disposicion, y los tiempos de respuesta comprometidos por tipo de salida no conforme.</w:t>
            </w:r>
          </w:p>
        </w:tc>
      </w:tr>
    </w:tbl>
    <w:p>
      <w:pPr>
        <w:spacing w:after="40"/>
      </w:pPr>
    </w:p>
    <w:p>
      <w:pPr>
        <w:keepNext/>
        <w:spacing w:before="200" w:after="60"/>
      </w:pPr>
      <w:r>
        <w:rPr>
          <w:rFonts w:ascii="Georgia" w:hAnsi="Georgia"/>
          <w:b/>
          <w:color w:val="1C242E"/>
          <w:sz w:val="22"/>
        </w:rPr>
        <w:t>5.4 Aceptacion bajo concesion</w:t>
      </w:r>
    </w:p>
    <w:p>
      <w:pPr>
        <w:spacing w:after="120"/>
      </w:pPr>
      <w:r>
        <w:rPr>
          <w:rFonts w:ascii="Calibri" w:hAnsi="Calibri"/>
          <w:color w:val="1C242E"/>
          <w:sz w:val="21"/>
        </w:rPr>
        <w:t>Cuando se proponga aceptar, liberar o continuar con un producto o servicio no conforme, se debe obtener autorizacion documentada de la autoridad competente y, cuando el requisito afectado sea del cliente o se pacte con el, tambien su aceptacion por escrito. La concesion se registra indicando el requisito no cumplido, la justificacion, los limites aplicables y las firmas de autorizacion.</w:t>
      </w:r>
    </w:p>
    <w:p>
      <w:pPr>
        <w:keepNext/>
        <w:spacing w:before="200" w:after="60"/>
      </w:pPr>
      <w:r>
        <w:rPr>
          <w:rFonts w:ascii="Georgia" w:hAnsi="Georgia"/>
          <w:b/>
          <w:color w:val="1C242E"/>
          <w:sz w:val="22"/>
        </w:rPr>
        <w:t>5.5 Correccion y verificacion posterior</w:t>
      </w:r>
    </w:p>
    <w:p>
      <w:pPr>
        <w:spacing w:after="120"/>
      </w:pPr>
      <w:r>
        <w:rPr>
          <w:rFonts w:ascii="Calibri" w:hAnsi="Calibri"/>
          <w:color w:val="1C242E"/>
          <w:sz w:val="21"/>
        </w:rPr>
        <w:t>Ejecutada la disposicion (reparacion, reemplazo o retrabajo), se verifica que el producto o servicio ya cumple los requisitos antes de liberarlo, conforme a la clausula 8.7.1 de ISO 9001:2015. La verificacion es responsabilidad del area tecnica que ejecuto o superviso la correccion y se deja evidencia en el registro de salidas no conformes. Ningun producto o instalacion corregida se entrega sin verificacion conforme.</w:t>
      </w:r>
    </w:p>
    <w:p>
      <w:pPr>
        <w:spacing w:after="120"/>
      </w:pPr>
      <w:r>
        <w:rPr>
          <w:rFonts w:ascii="Calibri" w:hAnsi="Calibri"/>
          <w:color w:val="1C242E"/>
          <w:sz w:val="21"/>
        </w:rPr>
        <w:t>Cuando una salida no conforme es recurrente o de impacto relevante, ademas de la correccion se abre accion correctiva conforme a PRO-AC-001 para eliminar la causa raiz.</w:t>
      </w:r>
    </w:p>
    <w:p>
      <w:pPr>
        <w:keepNext/>
        <w:spacing w:before="200" w:after="60"/>
      </w:pPr>
      <w:r>
        <w:rPr>
          <w:rFonts w:ascii="Georgia" w:hAnsi="Georgia"/>
          <w:b/>
          <w:color w:val="1C242E"/>
          <w:sz w:val="22"/>
        </w:rPr>
        <w:t>5.6 Salidas no conformes detectadas despues de la entrega (garantias)</w:t>
      </w:r>
    </w:p>
    <w:p>
      <w:pPr>
        <w:spacing w:after="120"/>
      </w:pPr>
      <w:r>
        <w:rPr>
          <w:rFonts w:ascii="Calibri" w:hAnsi="Calibri"/>
          <w:color w:val="1C242E"/>
          <w:sz w:val="21"/>
        </w:rPr>
        <w:t>Las salidas no conformes que se manifiestan una vez entregado e instalado el sistema (fallas de operacion, bajo desempeno, defectos que aparecen en uso o reclamaciones del cliente) se atienden como reclamaciones de garantia. Postventa recibe la reclamacion, la registra como salida no conforme y coordina su atencion. La determinacion de la procedencia de la garantia y su gestion se realizan conforme a PRO-PVM-05 (Garantias y Lecciones Aprendidas) y FOR-PVM-04 (Determinacion de Garantia), que definen los alcances de garantia vigentes de la empresa. La Coordinacion de Ingenieria participa con la evaluacion y el dictamen tecnico cuando la reclamacion lo requiere, y la Coordinacion de Instalaciones y Operaciones ejecuta la reparacion o el retrabajo autorizado, con verificacion posterior conforme a la seccion 5.5.</w:t>
      </w: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Documentar el proceso de atencion de garantias. Actualmente las garantias se atienden desde la Coordinacion de Ingenieria, pero el proceso no esta documentado como flujo formal. Levantar y documentar con SolarPro la frontera operativa entre Postventa (determinacion de la procedencia y gestion de la garantia conforme a PRO-PVM-05 y FOR-PVM-04) e Ingenieria (evaluacion y dictamen tecnico), los criterios de procedencia y los tiempos de respuesta, para eliminar cualquier traslape entre este procedimiento y los documentos de Postventa.</w:t>
            </w:r>
          </w:p>
        </w:tc>
      </w:tr>
    </w:tbl>
    <w:p>
      <w:pPr>
        <w:spacing w:after="40"/>
      </w:pPr>
    </w:p>
    <w:p>
      <w:pPr>
        <w:keepNext/>
        <w:spacing w:before="280" w:after="80"/>
        <w:pBdr>
          <w:bottom w:val="single" w:sz="8" w:color="F0E528"/>
        </w:pBdr>
      </w:pPr>
      <w:r>
        <w:rPr>
          <w:rFonts w:ascii="Georgia" w:hAnsi="Georgia"/>
          <w:b/>
          <w:color w:val="0056B4"/>
          <w:sz w:val="26"/>
        </w:rPr>
        <w:t>6. Formato de registro de salidas no conformes</w:t>
      </w:r>
    </w:p>
    <w:p>
      <w:pPr>
        <w:spacing w:after="120"/>
      </w:pPr>
      <w:r>
        <w:rPr>
          <w:rFonts w:ascii="Calibri" w:hAnsi="Calibri"/>
          <w:color w:val="1C242E"/>
          <w:sz w:val="21"/>
        </w:rPr>
        <w:t>Toda salida no conforme se documenta en el Formato de registro de salidas no conformes. El formato asegura la informacion documentada que exige la clausula 8.7.2 de ISO 9001:2015: la descripcion de la no conformidad, las acciones tomadas, las concesiones obtenidas y la identificacion de la autoridad que decide la accion. Como minimo, el formato contiene los siguientes campos: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4986"/>
            <w:shd w:val="clear" w:fill="0056B4"/>
          </w:tcPr>
          <w:p>
            <w:pPr>
              <w:jc w:val="center"/>
            </w:pPr>
            <w:r/>
            <w:r>
              <w:rPr>
                <w:rFonts w:ascii="Calibri" w:hAnsi="Calibri"/>
                <w:b/>
                <w:color w:val="FFFFFF"/>
                <w:sz w:val="17"/>
              </w:rPr>
              <w:t>Campo</w:t>
            </w:r>
          </w:p>
        </w:tc>
        <w:tc>
          <w:tcPr>
            <w:tcW w:type="dxa" w:w="4986"/>
            <w:shd w:val="clear" w:fill="0056B4"/>
          </w:tcPr>
          <w:p>
            <w:pPr>
              <w:jc w:val="center"/>
            </w:pPr>
            <w:r/>
            <w:r>
              <w:rPr>
                <w:rFonts w:ascii="Calibri" w:hAnsi="Calibri"/>
                <w:b/>
                <w:color w:val="FFFFFF"/>
                <w:sz w:val="17"/>
              </w:rPr>
              <w:t>Contenido</w:t>
            </w:r>
          </w:p>
        </w:tc>
      </w:tr>
      <w:tr>
        <w:tc>
          <w:tcPr>
            <w:tcW w:type="dxa" w:w="4986"/>
          </w:tcPr>
          <w:p>
            <w:r/>
            <w:r>
              <w:rPr>
                <w:rFonts w:ascii="Calibri" w:hAnsi="Calibri"/>
                <w:b w:val="0"/>
                <w:sz w:val="19"/>
              </w:rPr>
              <w:t>Folio o consecutivo</w:t>
            </w:r>
          </w:p>
        </w:tc>
        <w:tc>
          <w:tcPr>
            <w:tcW w:type="dxa" w:w="4986"/>
          </w:tcPr>
          <w:p>
            <w:r/>
            <w:r>
              <w:rPr>
                <w:rFonts w:ascii="Calibri" w:hAnsi="Calibri"/>
                <w:b w:val="0"/>
                <w:sz w:val="19"/>
              </w:rPr>
              <w:t>Identificador unico del registro.</w:t>
            </w:r>
          </w:p>
        </w:tc>
      </w:tr>
      <w:tr>
        <w:tc>
          <w:tcPr>
            <w:tcW w:type="dxa" w:w="4986"/>
          </w:tcPr>
          <w:p>
            <w:r/>
            <w:r>
              <w:rPr>
                <w:rFonts w:ascii="Calibri" w:hAnsi="Calibri"/>
                <w:b w:val="0"/>
                <w:sz w:val="19"/>
              </w:rPr>
              <w:t>Fecha de deteccion</w:t>
            </w:r>
          </w:p>
        </w:tc>
        <w:tc>
          <w:tcPr>
            <w:tcW w:type="dxa" w:w="4986"/>
          </w:tcPr>
          <w:p>
            <w:r/>
            <w:r>
              <w:rPr>
                <w:rFonts w:ascii="Calibri" w:hAnsi="Calibri"/>
                <w:b w:val="0"/>
                <w:sz w:val="19"/>
              </w:rPr>
              <w:t>Dia en que se identifica la salida no conforme.</w:t>
            </w:r>
          </w:p>
        </w:tc>
      </w:tr>
      <w:tr>
        <w:tc>
          <w:tcPr>
            <w:tcW w:type="dxa" w:w="4986"/>
          </w:tcPr>
          <w:p>
            <w:r/>
            <w:r>
              <w:rPr>
                <w:rFonts w:ascii="Calibri" w:hAnsi="Calibri"/>
                <w:b w:val="0"/>
                <w:sz w:val="19"/>
              </w:rPr>
              <w:t>Sede</w:t>
            </w:r>
          </w:p>
        </w:tc>
        <w:tc>
          <w:tcPr>
            <w:tcW w:type="dxa" w:w="4986"/>
          </w:tcPr>
          <w:p>
            <w:r/>
            <w:r>
              <w:rPr>
                <w:rFonts w:ascii="Calibri" w:hAnsi="Calibri"/>
                <w:b w:val="0"/>
                <w:sz w:val="19"/>
              </w:rPr>
              <w:t>Chihuahua o Ciudad Juarez.</w:t>
            </w:r>
          </w:p>
        </w:tc>
      </w:tr>
      <w:tr>
        <w:tc>
          <w:tcPr>
            <w:tcW w:type="dxa" w:w="4986"/>
          </w:tcPr>
          <w:p>
            <w:r/>
            <w:r>
              <w:rPr>
                <w:rFonts w:ascii="Calibri" w:hAnsi="Calibri"/>
                <w:b w:val="0"/>
                <w:sz w:val="19"/>
              </w:rPr>
              <w:t>Detecto o reporto</w:t>
            </w:r>
          </w:p>
        </w:tc>
        <w:tc>
          <w:tcPr>
            <w:tcW w:type="dxa" w:w="4986"/>
          </w:tcPr>
          <w:p>
            <w:r/>
            <w:r>
              <w:rPr>
                <w:rFonts w:ascii="Calibri" w:hAnsi="Calibri"/>
                <w:b w:val="0"/>
                <w:sz w:val="19"/>
              </w:rPr>
              <w:t>Rol o area que identifica la salida no conforme.</w:t>
            </w:r>
          </w:p>
        </w:tc>
      </w:tr>
      <w:tr>
        <w:tc>
          <w:tcPr>
            <w:tcW w:type="dxa" w:w="4986"/>
          </w:tcPr>
          <w:p>
            <w:r/>
            <w:r>
              <w:rPr>
                <w:rFonts w:ascii="Calibri" w:hAnsi="Calibri"/>
                <w:b w:val="0"/>
                <w:sz w:val="19"/>
              </w:rPr>
              <w:t>Tipo de salida no conforme</w:t>
            </w:r>
          </w:p>
        </w:tc>
        <w:tc>
          <w:tcPr>
            <w:tcW w:type="dxa" w:w="4986"/>
          </w:tcPr>
          <w:p>
            <w:r/>
            <w:r>
              <w:rPr>
                <w:rFonts w:ascii="Calibri" w:hAnsi="Calibri"/>
                <w:b w:val="0"/>
                <w:sz w:val="19"/>
              </w:rPr>
              <w:t>Producto, servicio en instalacion o servicio percibido por el cliente.</w:t>
            </w:r>
          </w:p>
        </w:tc>
      </w:tr>
      <w:tr>
        <w:tc>
          <w:tcPr>
            <w:tcW w:type="dxa" w:w="4986"/>
          </w:tcPr>
          <w:p>
            <w:r/>
            <w:r>
              <w:rPr>
                <w:rFonts w:ascii="Calibri" w:hAnsi="Calibri"/>
                <w:b w:val="0"/>
                <w:sz w:val="19"/>
              </w:rPr>
              <w:t>Descripcion de la no conformidad</w:t>
            </w:r>
          </w:p>
        </w:tc>
        <w:tc>
          <w:tcPr>
            <w:tcW w:type="dxa" w:w="4986"/>
          </w:tcPr>
          <w:p>
            <w:r/>
            <w:r>
              <w:rPr>
                <w:rFonts w:ascii="Calibri" w:hAnsi="Calibri"/>
                <w:b w:val="0"/>
                <w:sz w:val="19"/>
              </w:rPr>
              <w:t>Que requisito se incumple y la evidencia (numero de serie, ubicacion en obra, cliente).</w:t>
            </w:r>
          </w:p>
        </w:tc>
      </w:tr>
      <w:tr>
        <w:tc>
          <w:tcPr>
            <w:tcW w:type="dxa" w:w="4986"/>
          </w:tcPr>
          <w:p>
            <w:r/>
            <w:r>
              <w:rPr>
                <w:rFonts w:ascii="Calibri" w:hAnsi="Calibri"/>
                <w:b w:val="0"/>
                <w:sz w:val="19"/>
              </w:rPr>
              <w:t>Requisito incumplido</w:t>
            </w:r>
          </w:p>
        </w:tc>
        <w:tc>
          <w:tcPr>
            <w:tcW w:type="dxa" w:w="4986"/>
          </w:tcPr>
          <w:p>
            <w:r/>
            <w:r>
              <w:rPr>
                <w:rFonts w:ascii="Calibri" w:hAnsi="Calibri"/>
                <w:b w:val="0"/>
                <w:sz w:val="19"/>
              </w:rPr>
              <w:t>Requisito del cliente, del diseno, legal o del SGC afectado.</w:t>
            </w:r>
          </w:p>
        </w:tc>
      </w:tr>
      <w:tr>
        <w:tc>
          <w:tcPr>
            <w:tcW w:type="dxa" w:w="4986"/>
          </w:tcPr>
          <w:p>
            <w:r/>
            <w:r>
              <w:rPr>
                <w:rFonts w:ascii="Calibri" w:hAnsi="Calibri"/>
                <w:b w:val="0"/>
                <w:sz w:val="19"/>
              </w:rPr>
              <w:t>Segregacion o contencion aplicada</w:t>
            </w:r>
          </w:p>
        </w:tc>
        <w:tc>
          <w:tcPr>
            <w:tcW w:type="dxa" w:w="4986"/>
          </w:tcPr>
          <w:p>
            <w:r/>
            <w:r>
              <w:rPr>
                <w:rFonts w:ascii="Calibri" w:hAnsi="Calibri"/>
                <w:b w:val="0"/>
                <w:sz w:val="19"/>
              </w:rPr>
              <w:t>Accion inmediata para impedir el uso, la instalacion o la entrega.</w:t>
            </w:r>
          </w:p>
        </w:tc>
      </w:tr>
      <w:tr>
        <w:tc>
          <w:tcPr>
            <w:tcW w:type="dxa" w:w="4986"/>
          </w:tcPr>
          <w:p>
            <w:r/>
            <w:r>
              <w:rPr>
                <w:rFonts w:ascii="Calibri" w:hAnsi="Calibri"/>
                <w:b w:val="0"/>
                <w:sz w:val="19"/>
              </w:rPr>
              <w:t>Disposicion decidida</w:t>
            </w:r>
          </w:p>
        </w:tc>
        <w:tc>
          <w:tcPr>
            <w:tcW w:type="dxa" w:w="4986"/>
          </w:tcPr>
          <w:p>
            <w:r/>
            <w:r>
              <w:rPr>
                <w:rFonts w:ascii="Calibri" w:hAnsi="Calibri"/>
                <w:b w:val="0"/>
                <w:sz w:val="19"/>
              </w:rPr>
              <w:t>Reparar, reemplazar, devolver, rehacer, aceptar bajo concesion o baja.</w:t>
            </w:r>
          </w:p>
        </w:tc>
      </w:tr>
      <w:tr>
        <w:tc>
          <w:tcPr>
            <w:tcW w:type="dxa" w:w="4986"/>
          </w:tcPr>
          <w:p>
            <w:r/>
            <w:r>
              <w:rPr>
                <w:rFonts w:ascii="Calibri" w:hAnsi="Calibri"/>
                <w:b w:val="0"/>
                <w:sz w:val="19"/>
              </w:rPr>
              <w:t>Autoriza la disposicion</w:t>
            </w:r>
          </w:p>
        </w:tc>
        <w:tc>
          <w:tcPr>
            <w:tcW w:type="dxa" w:w="4986"/>
          </w:tcPr>
          <w:p>
            <w:r/>
            <w:r>
              <w:rPr>
                <w:rFonts w:ascii="Calibri" w:hAnsi="Calibri"/>
                <w:b w:val="0"/>
                <w:sz w:val="19"/>
              </w:rPr>
              <w:t>Rol que autoriza conforme a los limites definidos.</w:t>
            </w:r>
          </w:p>
        </w:tc>
      </w:tr>
      <w:tr>
        <w:tc>
          <w:tcPr>
            <w:tcW w:type="dxa" w:w="4986"/>
          </w:tcPr>
          <w:p>
            <w:r/>
            <w:r>
              <w:rPr>
                <w:rFonts w:ascii="Calibri" w:hAnsi="Calibri"/>
                <w:b w:val="0"/>
                <w:sz w:val="19"/>
              </w:rPr>
              <w:t>Concesion (si aplica)</w:t>
            </w:r>
          </w:p>
        </w:tc>
        <w:tc>
          <w:tcPr>
            <w:tcW w:type="dxa" w:w="4986"/>
          </w:tcPr>
          <w:p>
            <w:r/>
            <w:r>
              <w:rPr>
                <w:rFonts w:ascii="Calibri" w:hAnsi="Calibri"/>
                <w:b w:val="0"/>
                <w:sz w:val="19"/>
              </w:rPr>
              <w:t>Requisito no cumplido, justificacion, limites y aprobacion (autoridad competente y cliente cuando corresponda).</w:t>
            </w:r>
          </w:p>
        </w:tc>
      </w:tr>
      <w:tr>
        <w:tc>
          <w:tcPr>
            <w:tcW w:type="dxa" w:w="4986"/>
          </w:tcPr>
          <w:p>
            <w:r/>
            <w:r>
              <w:rPr>
                <w:rFonts w:ascii="Calibri" w:hAnsi="Calibri"/>
                <w:b w:val="0"/>
                <w:sz w:val="19"/>
              </w:rPr>
              <w:t>Verificacion posterior</w:t>
            </w:r>
          </w:p>
        </w:tc>
        <w:tc>
          <w:tcPr>
            <w:tcW w:type="dxa" w:w="4986"/>
          </w:tcPr>
          <w:p>
            <w:r/>
            <w:r>
              <w:rPr>
                <w:rFonts w:ascii="Calibri" w:hAnsi="Calibri"/>
                <w:b w:val="0"/>
                <w:sz w:val="19"/>
              </w:rPr>
              <w:t>Resultado de la verificacion de que el producto o servicio corregido cumple, con responsable y fecha.</w:t>
            </w:r>
          </w:p>
        </w:tc>
      </w:tr>
      <w:tr>
        <w:tc>
          <w:tcPr>
            <w:tcW w:type="dxa" w:w="4986"/>
          </w:tcPr>
          <w:p>
            <w:r/>
            <w:r>
              <w:rPr>
                <w:rFonts w:ascii="Calibri" w:hAnsi="Calibri"/>
                <w:b w:val="0"/>
                <w:sz w:val="19"/>
              </w:rPr>
              <w:t>Accion correctiva (si aplica)</w:t>
            </w:r>
          </w:p>
        </w:tc>
        <w:tc>
          <w:tcPr>
            <w:tcW w:type="dxa" w:w="4986"/>
          </w:tcPr>
          <w:p>
            <w:r/>
            <w:r>
              <w:rPr>
                <w:rFonts w:ascii="Calibri" w:hAnsi="Calibri"/>
                <w:b w:val="0"/>
                <w:sz w:val="19"/>
              </w:rPr>
              <w:t>Referencia a PRO-AC-001 cuando la salida no conforme es recurrente o de impacto relevante.</w:t>
            </w:r>
          </w:p>
        </w:tc>
      </w:tr>
      <w:tr>
        <w:tc>
          <w:tcPr>
            <w:tcW w:type="dxa" w:w="4986"/>
          </w:tcPr>
          <w:p>
            <w:r/>
            <w:r>
              <w:rPr>
                <w:rFonts w:ascii="Calibri" w:hAnsi="Calibri"/>
                <w:b w:val="0"/>
                <w:sz w:val="19"/>
              </w:rPr>
              <w:t>Estado</w:t>
            </w:r>
          </w:p>
        </w:tc>
        <w:tc>
          <w:tcPr>
            <w:tcW w:type="dxa" w:w="4986"/>
          </w:tcPr>
          <w:p>
            <w:r/>
            <w:r>
              <w:rPr>
                <w:rFonts w:ascii="Calibri" w:hAnsi="Calibri"/>
                <w:b w:val="0"/>
                <w:sz w:val="19"/>
              </w:rPr>
              <w:t>Abierto o cerrado.</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Confirmar el codigo y el diseno oficial del registro de salidas no conformes (por ejemplo FOR-SNC-01) y su relacion con la Bitacora de no conformidades REG-NCA-001, evitando duplicidad con FOR-ALM-03 (No Conformidad de Recepcion) para los casos que ya se registran en la recepcion de Almacen y con FOR-PVM-04 (Determinacion de Garantia) para los casos atendidos como garantia.</w:t>
            </w:r>
          </w:p>
        </w:tc>
      </w:tr>
    </w:tbl>
    <w:p>
      <w:pPr>
        <w:spacing w:after="40"/>
      </w:pPr>
    </w:p>
    <w:p>
      <w:pPr>
        <w:keepNext/>
        <w:spacing w:before="280" w:after="80"/>
        <w:pBdr>
          <w:bottom w:val="single" w:sz="8" w:color="F0E528"/>
        </w:pBdr>
      </w:pPr>
      <w:r>
        <w:rPr>
          <w:rFonts w:ascii="Georgia" w:hAnsi="Georgia"/>
          <w:b/>
          <w:color w:val="0056B4"/>
          <w:sz w:val="26"/>
        </w:rPr>
        <w:t>7. Registros</w:t>
      </w:r>
    </w:p>
    <w:p>
      <w:pPr>
        <w:spacing w:after="120"/>
      </w:pPr>
      <w:r>
        <w:rPr>
          <w:rFonts w:ascii="Calibri" w:hAnsi="Calibri"/>
          <w:color w:val="1C242E"/>
          <w:sz w:val="21"/>
        </w:rPr>
        <w:t>Este procedimiento genera y utiliza los siguientes registros de informacion documentada:</w:t>
      </w:r>
    </w:p>
    <w:p>
      <w:pPr>
        <w:pStyle w:val="ListBullet"/>
      </w:pPr>
      <w:r>
        <w:rPr>
          <w:rFonts w:ascii="Calibri" w:hAnsi="Calibri"/>
          <w:sz w:val="20"/>
        </w:rPr>
        <w:t>Formato de registro de salidas no conformes (seccion 6).</w:t>
      </w:r>
    </w:p>
    <w:p>
      <w:pPr>
        <w:pStyle w:val="ListBullet"/>
      </w:pPr>
      <w:r>
        <w:rPr>
          <w:rFonts w:ascii="Calibri" w:hAnsi="Calibri"/>
          <w:sz w:val="20"/>
        </w:rPr>
        <w:t>Bitacora de no conformidades REG-NCA-001.</w:t>
      </w:r>
    </w:p>
    <w:p>
      <w:pPr>
        <w:pStyle w:val="ListBullet"/>
      </w:pPr>
      <w:r>
        <w:rPr>
          <w:rFonts w:ascii="Calibri" w:hAnsi="Calibri"/>
          <w:sz w:val="20"/>
        </w:rPr>
        <w:t>Registro de concesiones autorizadas (dentro del formato de registro de salidas no conformes).</w:t>
      </w:r>
    </w:p>
    <w:p>
      <w:pPr>
        <w:pStyle w:val="ListBullet"/>
      </w:pPr>
      <w:r>
        <w:rPr>
          <w:rFonts w:ascii="Calibri" w:hAnsi="Calibri"/>
          <w:sz w:val="20"/>
        </w:rPr>
        <w:t>Evidencia de verificacion posterior a la correccion.</w:t>
      </w:r>
    </w:p>
    <w:p>
      <w:pPr>
        <w:pStyle w:val="ListBullet"/>
      </w:pPr>
      <w:r>
        <w:rPr>
          <w:rFonts w:ascii="Calibri" w:hAnsi="Calibri"/>
          <w:sz w:val="20"/>
        </w:rPr>
        <w:t>FOR-ALM-03 No Conformidad de Recepcion, para las salidas detectadas en la recepcion de Almacen (PRO-ALM-01).</w:t>
      </w:r>
    </w:p>
    <w:p>
      <w:pPr>
        <w:pStyle w:val="ListBullet"/>
      </w:pPr>
      <w:r>
        <w:rPr>
          <w:rFonts w:ascii="Calibri" w:hAnsi="Calibri"/>
          <w:sz w:val="20"/>
        </w:rPr>
        <w:t>FOR-PVM-04 Determinacion de Garantia, para las salidas atendidas como garantia (PRO-PVM-05).</w:t>
      </w:r>
    </w:p>
    <w:p>
      <w:pPr>
        <w:spacing w:after="120"/>
      </w:pPr>
      <w:r>
        <w:rPr>
          <w:rFonts w:ascii="Calibri" w:hAnsi="Calibri"/>
          <w:color w:val="1C242E"/>
          <w:sz w:val="21"/>
        </w:rPr>
        <w:t>La Gerencia Administrativa, como custodio del SGC, resguarda estos registros y verifica su uso durante auditorias y revision por la direccion.</w:t>
      </w: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Definir el tiempo de retencion y el medio de resguardo (fisico o digital) de los registros de salidas no conformes, conforme al control de la informacion documentada del SGC.</w:t>
            </w:r>
          </w:p>
        </w:tc>
      </w:tr>
    </w:tbl>
    <w:p>
      <w:pPr>
        <w:spacing w:after="40"/>
      </w:pPr>
    </w:p>
    <w:p>
      <w:pPr>
        <w:keepNext/>
        <w:spacing w:before="280" w:after="80"/>
        <w:pBdr>
          <w:bottom w:val="single" w:sz="8" w:color="F0E528"/>
        </w:pBdr>
      </w:pPr>
      <w:r>
        <w:rPr>
          <w:rFonts w:ascii="Georgia" w:hAnsi="Georgia"/>
          <w:b/>
          <w:color w:val="0056B4"/>
          <w:sz w:val="26"/>
        </w:rPr>
        <w:t>8. Referencias</w:t>
      </w:r>
    </w:p>
    <w:p>
      <w:pPr>
        <w:pStyle w:val="ListBullet"/>
      </w:pPr>
      <w:r>
        <w:rPr>
          <w:rFonts w:ascii="Calibri" w:hAnsi="Calibri"/>
          <w:sz w:val="20"/>
        </w:rPr>
        <w:t>ISO 9001:2015, clausula 8.7 Control de las salidas no conformes, incluyendo 8.7.1 (control y verificacion) y 8.7.2 (informacion documentada).</w:t>
      </w:r>
    </w:p>
    <w:p>
      <w:pPr>
        <w:pStyle w:val="ListBullet"/>
      </w:pPr>
      <w:r>
        <w:rPr>
          <w:rFonts w:ascii="Calibri" w:hAnsi="Calibri"/>
          <w:sz w:val="20"/>
        </w:rPr>
        <w:t>Manual de Calidad MC-SP-01.</w:t>
      </w:r>
    </w:p>
    <w:p>
      <w:pPr>
        <w:pStyle w:val="ListBullet"/>
      </w:pPr>
      <w:r>
        <w:rPr>
          <w:rFonts w:ascii="Calibri" w:hAnsi="Calibri"/>
          <w:sz w:val="20"/>
        </w:rPr>
        <w:t>PRO-AC-001 Acciones Correctivas.</w:t>
      </w:r>
    </w:p>
    <w:p>
      <w:pPr>
        <w:pStyle w:val="ListBullet"/>
      </w:pPr>
      <w:r>
        <w:rPr>
          <w:rFonts w:ascii="Calibri" w:hAnsi="Calibri"/>
          <w:sz w:val="20"/>
        </w:rPr>
        <w:t>PRO-PRV-001 Proveedores.</w:t>
      </w:r>
    </w:p>
    <w:p>
      <w:pPr>
        <w:pStyle w:val="ListBullet"/>
      </w:pPr>
      <w:r>
        <w:rPr>
          <w:rFonts w:ascii="Calibri" w:hAnsi="Calibri"/>
          <w:sz w:val="20"/>
        </w:rPr>
        <w:t>PRO-ALM-01 Recepcion e Inspeccion.</w:t>
      </w:r>
    </w:p>
    <w:p>
      <w:pPr>
        <w:pStyle w:val="ListBullet"/>
      </w:pPr>
      <w:r>
        <w:rPr>
          <w:rFonts w:ascii="Calibri" w:hAnsi="Calibri"/>
          <w:sz w:val="20"/>
        </w:rPr>
        <w:t>FOR-ALM-03 No Conformidad de Recepcion.</w:t>
      </w:r>
    </w:p>
    <w:p>
      <w:pPr>
        <w:pStyle w:val="ListBullet"/>
      </w:pPr>
      <w:r>
        <w:rPr>
          <w:rFonts w:ascii="Calibri" w:hAnsi="Calibri"/>
          <w:sz w:val="20"/>
        </w:rPr>
        <w:t>PRO-PVM-05 Garantias y Lecciones Aprendidas.</w:t>
      </w:r>
    </w:p>
    <w:p>
      <w:pPr>
        <w:pStyle w:val="ListBullet"/>
      </w:pPr>
      <w:r>
        <w:rPr>
          <w:rFonts w:ascii="Calibri" w:hAnsi="Calibri"/>
          <w:sz w:val="20"/>
        </w:rPr>
        <w:t>FOR-PVM-04 Determinacion de Garantia.</w:t>
      </w:r>
    </w:p>
    <w:p>
      <w:pPr>
        <w:keepNext/>
        <w:spacing w:before="280" w:after="80"/>
        <w:pBdr>
          <w:bottom w:val="single" w:sz="8" w:color="F0E528"/>
        </w:pBdr>
      </w:pPr>
      <w:r>
        <w:rPr>
          <w:rFonts w:ascii="Georgia" w:hAnsi="Georgia"/>
          <w:b/>
          <w:color w:val="0056B4"/>
          <w:sz w:val="26"/>
        </w:rPr>
        <w:t>APROBACIÓN</w:t>
      </w:r>
    </w:p>
    <w:p>
      <w:pPr>
        <w:spacing w:after="120"/>
      </w:pPr>
    </w:p>
    <w:p>
      <w:pPr>
        <w:keepNext/>
        <w:spacing w:after="320"/>
      </w:pPr>
    </w:p>
    <w:tbl>
      <w:tblPr>
        <w:tblW w:type="auto" w:w="0"/>
        <w:tblLook w:firstColumn="1" w:firstRow="1" w:lastColumn="0" w:lastRow="0" w:noHBand="0" w:noVBand="1" w:val="04A0"/>
      </w:tblPr>
      <w:tblGrid>
        <w:gridCol w:w="3324"/>
        <w:gridCol w:w="3324"/>
        <w:gridCol w:w="3324"/>
      </w:tblGrid>
      <w:tr>
        <w:tc>
          <w:tcPr>
            <w:tcW w:type="dxa" w:w="3324"/>
          </w:tcPr>
          <w:p>
            <w:pPr>
              <w:jc w:val="center"/>
            </w:pPr>
            <w:r/>
            <w:r>
              <w:rPr>
                <w:sz w:val="20"/>
              </w:rPr>
              <w:t>__________________________</w:t>
            </w:r>
          </w:p>
        </w:tc>
        <w:tc>
          <w:tcPr>
            <w:tcW w:type="dxa" w:w="3324"/>
          </w:tcPr>
          <w:p>
            <w:pPr>
              <w:jc w:val="center"/>
            </w:pPr>
            <w:r/>
            <w:r>
              <w:rPr>
                <w:sz w:val="20"/>
              </w:rPr>
              <w:t>__________________________</w:t>
            </w:r>
          </w:p>
        </w:tc>
        <w:tc>
          <w:tcPr>
            <w:tcW w:type="dxa" w:w="3324"/>
          </w:tcPr>
          <w:p>
            <w:pPr>
              <w:jc w:val="center"/>
            </w:pPr>
            <w:r/>
            <w:r>
              <w:rPr>
                <w:sz w:val="20"/>
              </w:rPr>
              <w:t>__________________________</w:t>
            </w:r>
          </w:p>
        </w:tc>
      </w:tr>
      <w:tr>
        <w:tc>
          <w:tcPr>
            <w:tcW w:type="dxa" w:w="3324"/>
          </w:tcPr>
          <w:p>
            <w:pPr>
              <w:jc w:val="center"/>
            </w:pPr>
            <w:r/>
            <w:r>
              <w:rPr>
                <w:rFonts w:ascii="Calibri" w:hAnsi="Calibri"/>
                <w:b w:val="0"/>
                <w:color w:val="595959"/>
                <w:sz w:val="17"/>
              </w:rPr>
              <w:t>Elaboró</w:t>
              <w:br/>
              <w:t>DETA Consultores</w:t>
            </w:r>
          </w:p>
        </w:tc>
        <w:tc>
          <w:tcPr>
            <w:tcW w:type="dxa" w:w="3324"/>
          </w:tcPr>
          <w:p>
            <w:pPr>
              <w:jc w:val="center"/>
            </w:pPr>
            <w:r/>
            <w:r>
              <w:rPr>
                <w:rFonts w:ascii="Calibri" w:hAnsi="Calibri"/>
                <w:b w:val="0"/>
                <w:color w:val="595959"/>
                <w:sz w:val="17"/>
              </w:rPr>
              <w:t>Revisó</w:t>
              <w:br/>
              <w:t>Gerencia Administrativa</w:t>
            </w:r>
          </w:p>
        </w:tc>
        <w:tc>
          <w:tcPr>
            <w:tcW w:type="dxa" w:w="3324"/>
          </w:tcPr>
          <w:p>
            <w:pPr>
              <w:jc w:val="center"/>
            </w:pPr>
            <w:r/>
            <w:r>
              <w:rPr>
                <w:rFonts w:ascii="Calibri" w:hAnsi="Calibri"/>
                <w:b w:val="0"/>
                <w:color w:val="595959"/>
                <w:sz w:val="17"/>
              </w:rPr>
              <w:t>Aprobó</w:t>
              <w:br/>
              <w:t>Dirección General</w:t>
            </w:r>
          </w:p>
        </w:tc>
      </w:tr>
    </w:tbl>
    <w:sectPr w:rsidR="00FC693F" w:rsidRPr="0006063C" w:rsidSect="00034616">
      <w:footerReference w:type="default" r:id="rId9"/>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Control de Salidas No Conformes · PRO-SNC-001 V1</w:t>
    </w:r>
    <w:r>
      <w:tab/>
    </w:r>
    <w:r>
      <w:rPr>
        <w:rFonts w:ascii="Calibri" w:hAnsi="Calibri"/>
        <w:sz w:val="16"/>
      </w:rPr>
      <w:fldChar w:fldCharType="begin"/>
    </w:r>
    <w:r>
      <w:rPr>
        <w:rFonts w:ascii="Calibri" w:hAnsi="Calibri"/>
        <w:sz w:val="16"/>
      </w:rPr>
      <w:instrText xml:space="preserve"> PAGE </w:instrText>
    </w:r>
    <w:r>
      <w:fldChar w:fldCharType="separate"/>
    </w:r>
    <w:r>
      <w:rPr>
        <w:rFonts w:ascii="Calibri" w:hAnsi="Calibri"/>
        <w:sz w:val="16"/>
      </w:rPr>
      <w:t>1</w:t>
    </w:r>
    <w:r>
      <w:fldChar w:fldCharType="end"/>
    </w:r>
    <w:r>
      <w:rPr>
        <w:color w:val="595959"/>
        <w:sz w:val="15"/>
      </w:rPr>
      <w:t xml:space="preserve"> / </w:t>
    </w:r>
    <w:r>
      <w:rPr>
        <w:rFonts w:ascii="Calibri" w:hAnsi="Calibri"/>
        <w:sz w:val="16"/>
      </w:rPr>
      <w:fldChar w:fldCharType="begin"/>
    </w:r>
    <w:r>
      <w:rPr>
        <w:rFonts w:ascii="Calibri" w:hAnsi="Calibri"/>
        <w:sz w:val="16"/>
      </w:rPr>
      <w:instrText xml:space="preserve"> NUMPAGES </w:instrText>
    </w:r>
    <w:r>
      <w:fldChar w:fldCharType="separate"/>
    </w:r>
    <w:r>
      <w:rPr>
        <w:rFonts w:ascii="Calibri" w:hAnsi="Calibri"/>
        <w:sz w:val="16"/>
      </w:rPr>
      <w:t>1</w:t>
    </w:r>
    <w:r>
      <w:fldChar w:fldCharType="end"/>
    </w:r>
    <w:r>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