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Servicio Postventa</w:t>
      </w:r>
    </w:p>
    <w:p>
      <w:pPr>
        <w:jc w:val="center"/>
      </w:pPr>
      <w:r>
        <w:rPr>
          <w:color w:val="F0E528"/>
          <w:sz w:val="24"/>
        </w:rPr>
        <w:t>________</w:t>
      </w:r>
    </w:p>
    <w:p>
      <w:pPr>
        <w:jc w:val="center"/>
      </w:pPr>
      <w:r>
        <w:rPr>
          <w:rFonts w:ascii="Georgia" w:hAnsi="Georgia"/>
          <w:i/>
          <w:color w:val="595959"/>
          <w:sz w:val="26"/>
        </w:rPr>
        <w:t>Perfil de Puesto · SolarPro · Sistema de Gestión de Calidad ISO 9001:2015</w:t>
      </w:r>
    </w:p>
    <w:p>
      <w:pPr>
        <w:spacing w:before="600"/>
        <w:jc w:val="center"/>
      </w:pPr>
      <w:r>
        <w:rPr>
          <w:b/>
          <w:color w:val="1C242E"/>
          <w:sz w:val="22"/>
        </w:rPr>
        <w:t>Soluciones Energéticas JEA S.A. de C.V. (SolarPro)</w:t>
      </w:r>
    </w:p>
    <w:p>
      <w:pPr>
        <w:jc w:val="center"/>
      </w:pPr>
      <w:r>
        <w:rPr>
          <w:color w:val="595959"/>
          <w:sz w:val="20"/>
        </w:rPr>
        <w:t>PER-SPO  ·  Versión 1  ·  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PER-SPO</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8 de septiembre de 2027</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Comercial</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Matriz Chihuahua</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8 de septiembre de 2026</w:t>
            </w:r>
          </w:p>
        </w:tc>
        <w:tc>
          <w:tcPr>
            <w:tcW w:type="dxa" w:w="5584"/>
          </w:tcPr>
          <w:p>
            <w:r/>
            <w:r>
              <w:rPr>
                <w:rFonts w:ascii="Calibri" w:hAnsi="Calibri"/>
                <w:b w:val="0"/>
                <w:sz w:val="19"/>
              </w:rPr>
              <w:t>Emisión inicial. Perfil de puesto reconstruido como documento controlado del SGC a partir del perfil vigente, con las responsabilidades del SGC del puesto y los indicadores del puesto.</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1. Objetivo del puesto</w:t>
      </w:r>
    </w:p>
    <w:p>
      <w:pPr>
        <w:spacing w:after="40"/>
      </w:pPr>
      <w:r>
        <w:rPr>
          <w:rFonts w:ascii="Calibri" w:hAnsi="Calibri"/>
          <w:color w:val="1C242E"/>
          <w:sz w:val="20"/>
        </w:rPr>
        <w:t>2. Áreas de efectividad</w:t>
      </w:r>
    </w:p>
    <w:p>
      <w:pPr>
        <w:spacing w:after="40"/>
      </w:pPr>
      <w:r>
        <w:rPr>
          <w:rFonts w:ascii="Calibri" w:hAnsi="Calibri"/>
          <w:color w:val="1C242E"/>
          <w:sz w:val="20"/>
        </w:rPr>
        <w:t>3. Responsabilidades del SGC del puesto</w:t>
      </w:r>
    </w:p>
    <w:p>
      <w:pPr>
        <w:spacing w:after="40"/>
      </w:pPr>
      <w:r>
        <w:rPr>
          <w:rFonts w:ascii="Calibri" w:hAnsi="Calibri"/>
          <w:color w:val="1C242E"/>
          <w:sz w:val="20"/>
        </w:rPr>
        <w:t>4. Competencias</w:t>
      </w:r>
    </w:p>
    <w:p>
      <w:pPr>
        <w:spacing w:after="40"/>
      </w:pPr>
      <w:r>
        <w:rPr>
          <w:rFonts w:ascii="Calibri" w:hAnsi="Calibri"/>
          <w:color w:val="1C242E"/>
          <w:sz w:val="20"/>
        </w:rPr>
        <w:t>5. Requisitos del puesto</w:t>
      </w:r>
    </w:p>
    <w:p>
      <w:pPr>
        <w:spacing w:after="40"/>
      </w:pPr>
      <w:r>
        <w:rPr>
          <w:rFonts w:ascii="Calibri" w:hAnsi="Calibri"/>
          <w:color w:val="1C242E"/>
          <w:sz w:val="20"/>
        </w:rPr>
        <w:t>6. Indicadores del puesto (KPIs)</w:t>
      </w:r>
    </w:p>
    <w:p>
      <w:pPr>
        <w:spacing w:after="40"/>
      </w:pPr>
      <w:r>
        <w:rPr>
          <w:rFonts w:ascii="Calibri" w:hAnsi="Calibri"/>
          <w:color w:val="1C242E"/>
          <w:sz w:val="20"/>
        </w:rPr>
        <w:t>7. Relaciones y línea de reporte</w:t>
      </w:r>
    </w:p>
    <w:p>
      <w:r>
        <w:br w:type="page"/>
      </w:r>
    </w:p>
    <w:p>
      <w:pPr>
        <w:keepNext/>
        <w:spacing w:before="280" w:after="80"/>
        <w:pBdr>
          <w:bottom w:val="single" w:sz="8" w:color="F0E528"/>
        </w:pBdr>
      </w:pPr>
      <w:r>
        <w:rPr>
          <w:rFonts w:ascii="Georgia" w:hAnsi="Georgia"/>
          <w:b/>
          <w:color w:val="0056B4"/>
          <w:sz w:val="26"/>
        </w:rPr>
        <w:t>1. Objetivo del puesto</w:t>
      </w:r>
    </w:p>
    <w:p>
      <w:pPr>
        <w:keepNext/>
        <w:spacing w:before="200" w:after="60"/>
      </w:pPr>
      <w:r>
        <w:rPr>
          <w:rFonts w:ascii="Georgia" w:hAnsi="Georgia"/>
          <w:b/>
          <w:color w:val="1C242E"/>
          <w:sz w:val="22"/>
        </w:rPr>
        <w:t>Propósito central</w:t>
      </w:r>
    </w:p>
    <w:p>
      <w:pPr>
        <w:spacing w:after="120"/>
      </w:pPr>
      <w:r>
        <w:rPr>
          <w:rFonts w:ascii="Calibri" w:hAnsi="Calibri"/>
          <w:color w:val="1C242E"/>
          <w:sz w:val="21"/>
        </w:rPr>
        <w:t>Gestionar y documentar la atención post-venta desde el levantamiento del ticket hasta el cierre del caso, garantizando el cumplimiento del SLA, la correcta aplicación de las garantías y los servicios, y la satisfacción del cliente de SolarPro.</w:t>
      </w:r>
    </w:p>
    <w:p>
      <w:pPr>
        <w:keepNext/>
        <w:spacing w:before="280" w:after="80"/>
        <w:pBdr>
          <w:bottom w:val="single" w:sz="8" w:color="F0E528"/>
        </w:pBdr>
      </w:pPr>
      <w:r>
        <w:rPr>
          <w:rFonts w:ascii="Georgia" w:hAnsi="Georgia"/>
          <w:b/>
          <w:color w:val="0056B4"/>
          <w:sz w:val="26"/>
        </w:rPr>
        <w:t>2. Áreas de efectividad</w:t>
      </w:r>
    </w:p>
    <w:p>
      <w:pPr>
        <w:spacing w:after="120"/>
      </w:pPr>
      <w:r>
        <w:rPr>
          <w:rFonts w:ascii="Calibri" w:hAnsi="Calibri"/>
          <w:color w:val="1C242E"/>
          <w:sz w:val="21"/>
        </w:rPr>
        <w:t>El desempeño del puesto se distribuye en tres áreas de efectividad. El perfil vigente no asigna un peso relativo a cada área, por lo que se conservan sin peso hasta su validación.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992"/>
            <w:shd w:val="clear" w:fill="0056B4"/>
          </w:tcPr>
          <w:p>
            <w:pPr>
              <w:jc w:val="center"/>
            </w:pPr>
            <w:r/>
            <w:r>
              <w:rPr>
                <w:rFonts w:ascii="Calibri" w:hAnsi="Calibri"/>
                <w:b/>
                <w:color w:val="FFFFFF"/>
                <w:sz w:val="17"/>
              </w:rPr>
              <w:t>Área de efectividad</w:t>
            </w:r>
          </w:p>
        </w:tc>
        <w:tc>
          <w:tcPr>
            <w:tcW w:type="dxa" w:w="1197"/>
            <w:shd w:val="clear" w:fill="0056B4"/>
          </w:tcPr>
          <w:p>
            <w:pPr>
              <w:jc w:val="center"/>
            </w:pPr>
            <w:r/>
            <w:r>
              <w:rPr>
                <w:rFonts w:ascii="Calibri" w:hAnsi="Calibri"/>
                <w:b/>
                <w:color w:val="FFFFFF"/>
                <w:sz w:val="17"/>
              </w:rPr>
              <w:t>Peso</w:t>
            </w:r>
          </w:p>
        </w:tc>
        <w:tc>
          <w:tcPr>
            <w:tcW w:type="dxa" w:w="5784"/>
            <w:shd w:val="clear" w:fill="0056B4"/>
          </w:tcPr>
          <w:p>
            <w:pPr>
              <w:jc w:val="center"/>
            </w:pPr>
            <w:r/>
            <w:r>
              <w:rPr>
                <w:rFonts w:ascii="Calibri" w:hAnsi="Calibri"/>
                <w:b/>
                <w:color w:val="FFFFFF"/>
                <w:sz w:val="17"/>
              </w:rPr>
              <w:t>Descripción</w:t>
            </w:r>
          </w:p>
        </w:tc>
      </w:tr>
      <w:tr>
        <w:tc>
          <w:tcPr>
            <w:tcW w:type="dxa" w:w="2992"/>
          </w:tcPr>
          <w:p>
            <w:r/>
            <w:r>
              <w:rPr>
                <w:rFonts w:ascii="Calibri" w:hAnsi="Calibri"/>
                <w:b w:val="0"/>
                <w:sz w:val="19"/>
              </w:rPr>
              <w:t>Gestión de tickets y atención al cliente</w:t>
            </w:r>
          </w:p>
        </w:tc>
        <w:tc>
          <w:tcPr>
            <w:tcW w:type="dxa" w:w="1197"/>
          </w:tcPr>
          <w:p>
            <w:r/>
            <w:r>
              <w:rPr>
                <w:rFonts w:ascii="Calibri" w:hAnsi="Calibri"/>
                <w:b w:val="0"/>
                <w:sz w:val="19"/>
              </w:rPr>
              <w:t>[Por validar]</w:t>
            </w:r>
          </w:p>
        </w:tc>
        <w:tc>
          <w:tcPr>
            <w:tcW w:type="dxa" w:w="5784"/>
          </w:tcPr>
          <w:p>
            <w:r/>
            <w:r>
              <w:rPr>
                <w:rFonts w:ascii="Calibri" w:hAnsi="Calibri"/>
                <w:b w:val="0"/>
                <w:sz w:val="19"/>
              </w:rPr>
              <w:t>Levantar el ticket en CRM o Trello con los datos mínimos y canalizarlo al flujo post-venta, clasificar el caso y su prioridad conforme al SLA de 48 horas, determinar la procedencia de garantía y explicar las opciones al cliente, coordinar el diagnóstico y la agenda con las áreas técnicas sin comprometer fechas sin confirmación, y registrar la comunicación, los acuerdos y el recontacto.</w:t>
            </w:r>
          </w:p>
        </w:tc>
      </w:tr>
      <w:tr>
        <w:tc>
          <w:tcPr>
            <w:tcW w:type="dxa" w:w="2992"/>
          </w:tcPr>
          <w:p>
            <w:r/>
            <w:r>
              <w:rPr>
                <w:rFonts w:ascii="Calibri" w:hAnsi="Calibri"/>
                <w:b w:val="0"/>
                <w:sz w:val="19"/>
              </w:rPr>
              <w:t>Coordinación de garantías y servicios</w:t>
            </w:r>
          </w:p>
        </w:tc>
        <w:tc>
          <w:tcPr>
            <w:tcW w:type="dxa" w:w="1197"/>
          </w:tcPr>
          <w:p>
            <w:r/>
            <w:r>
              <w:rPr>
                <w:rFonts w:ascii="Calibri" w:hAnsi="Calibri"/>
                <w:b w:val="0"/>
                <w:sz w:val="19"/>
              </w:rPr>
              <w:t>[Por validar]</w:t>
            </w:r>
          </w:p>
        </w:tc>
        <w:tc>
          <w:tcPr>
            <w:tcW w:type="dxa" w:w="5784"/>
          </w:tcPr>
          <w:p>
            <w:r/>
            <w:r>
              <w:rPr>
                <w:rFonts w:ascii="Calibri" w:hAnsi="Calibri"/>
                <w:b w:val="0"/>
                <w:sz w:val="19"/>
              </w:rPr>
              <w:t>Validar la póliza y el alcance y generar la orden de servicio de garantía sin costo cuando procede, elaborar o solicitar la cotización y gestionar el visto bueno interno cuando no procede, programar el servicio o mantenimiento con el área técnica, dar seguimiento a la ejecución y al checklist, subir la evidencia, cerrar el caso y enviar el reporte de cierre al cliente.</w:t>
            </w:r>
          </w:p>
        </w:tc>
      </w:tr>
      <w:tr>
        <w:tc>
          <w:tcPr>
            <w:tcW w:type="dxa" w:w="2992"/>
          </w:tcPr>
          <w:p>
            <w:r/>
            <w:r>
              <w:rPr>
                <w:rFonts w:ascii="Calibri" w:hAnsi="Calibri"/>
                <w:b w:val="0"/>
                <w:sz w:val="19"/>
              </w:rPr>
              <w:t>Calidad, documentación y NPS</w:t>
            </w:r>
          </w:p>
        </w:tc>
        <w:tc>
          <w:tcPr>
            <w:tcW w:type="dxa" w:w="1197"/>
          </w:tcPr>
          <w:p>
            <w:r/>
            <w:r>
              <w:rPr>
                <w:rFonts w:ascii="Calibri" w:hAnsi="Calibri"/>
                <w:b w:val="0"/>
                <w:sz w:val="19"/>
              </w:rPr>
              <w:t>[Por validar]</w:t>
            </w:r>
          </w:p>
        </w:tc>
        <w:tc>
          <w:tcPr>
            <w:tcW w:type="dxa" w:w="5784"/>
          </w:tcPr>
          <w:p>
            <w:r/>
            <w:r>
              <w:rPr>
                <w:rFonts w:ascii="Calibri" w:hAnsi="Calibri"/>
                <w:b w:val="0"/>
                <w:sz w:val="19"/>
              </w:rPr>
              <w:t>Coordinar la encuesta NPS a 30 días y levantar ticket ante las alertas, mantener el expediente completo por caso con la evidencia de cierre al día, monitorear los indicadores de post-venta y emitir el informe mensual, documentar las lecciones aprendidas de las fallas recurrentes y de las garantías, retroalimentar a Operaciones e Ingeniería sobre las fallas recurrentes y acompañar la capacitación al cliente con Ingeniería.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[Pesos por validar]. El perfil vigente define método de medición y entregables por área, pero no un peso porcentual. Los pesos se confirman con la Dirección en la primera revisión del documento.</w:t>
            </w:r>
          </w:p>
        </w:tc>
      </w:tr>
    </w:tbl>
    <w:p>
      <w:pPr>
        <w:spacing w:after="40"/>
      </w:pPr>
    </w:p>
    <w:p>
      <w:pPr>
        <w:keepNext/>
        <w:spacing w:before="280" w:after="80"/>
        <w:pBdr>
          <w:bottom w:val="single" w:sz="8" w:color="F0E528"/>
        </w:pBdr>
      </w:pPr>
      <w:r>
        <w:rPr>
          <w:rFonts w:ascii="Georgia" w:hAnsi="Georgia"/>
          <w:b/>
          <w:color w:val="0056B4"/>
          <w:sz w:val="26"/>
        </w:rPr>
        <w:t>3. Responsabilidades del SGC del puesto</w:t>
      </w:r>
    </w:p>
    <w:p>
      <w:pPr>
        <w:spacing w:after="120"/>
      </w:pPr>
      <w:r>
        <w:rPr>
          <w:rFonts w:ascii="Calibri" w:hAnsi="Calibri"/>
          <w:color w:val="1C242E"/>
          <w:sz w:val="21"/>
        </w:rPr>
        <w:t>Además de sus funciones operativas, el puesto asume las siguientes responsabilidades dentro del Sistema de Gestión de Calidad de SolarPro, conforme al requisito 7.2 de la norma ISO 9001:2015.</w:t>
      </w:r>
    </w:p>
    <w:p>
      <w:pPr>
        <w:pStyle w:val="ListBullet"/>
      </w:pPr>
      <w:r>
        <w:rPr>
          <w:rFonts w:ascii="Calibri" w:hAnsi="Calibri"/>
          <w:sz w:val="20"/>
        </w:rPr>
        <w:t>Seguir los procedimientos aplicables de post-venta y de garantías del SGC, así como el protocolo de atención y clasificación de tickets vigente.</w:t>
      </w:r>
    </w:p>
    <w:p>
      <w:pPr>
        <w:pStyle w:val="ListBullet"/>
      </w:pPr>
      <w:r>
        <w:rPr>
          <w:rFonts w:ascii="Calibri" w:hAnsi="Calibri"/>
          <w:sz w:val="20"/>
        </w:rPr>
        <w:t>Generar y resguardar los registros propios de su área: ticket, bitácora, orden de servicio de garantía sin costo o con costo, checklist de servicio, evidencia de cierre, reporte de cierre al cliente y encuesta NPS.</w:t>
      </w:r>
    </w:p>
    <w:p>
      <w:pPr>
        <w:pStyle w:val="ListBullet"/>
      </w:pPr>
      <w:r>
        <w:rPr>
          <w:rFonts w:ascii="Calibri" w:hAnsi="Calibri"/>
          <w:sz w:val="20"/>
        </w:rPr>
        <w:t>Asegurar el cierre de cada caso con la evidencia completa y el expediente al día antes de darlo por concluido.</w:t>
      </w:r>
    </w:p>
    <w:p>
      <w:pPr>
        <w:pStyle w:val="ListBullet"/>
      </w:pPr>
      <w:r>
        <w:rPr>
          <w:rFonts w:ascii="Calibri" w:hAnsi="Calibri"/>
          <w:sz w:val="20"/>
        </w:rPr>
        <w:t>Aplicar de forma correcta las políticas y los límites de garantía, y documentar la procedencia o improcedencia de cada garantía.</w:t>
      </w:r>
    </w:p>
    <w:p>
      <w:pPr>
        <w:pStyle w:val="ListBullet"/>
      </w:pPr>
      <w:r>
        <w:rPr>
          <w:rFonts w:ascii="Calibri" w:hAnsi="Calibri"/>
          <w:sz w:val="20"/>
        </w:rPr>
        <w:t>Atender y canalizar las quejas e inconformidades del cliente conforme al procedimiento, y dar seguimiento hasta su resolución.</w:t>
      </w:r>
    </w:p>
    <w:p>
      <w:pPr>
        <w:pStyle w:val="ListBullet"/>
      </w:pPr>
      <w:r>
        <w:rPr>
          <w:rFonts w:ascii="Calibri" w:hAnsi="Calibri"/>
          <w:sz w:val="20"/>
        </w:rPr>
        <w:t>Reportar y atender las no conformidades de su proceso, como tickets fuera de SLA, expedientes incompletos o fallas recurrentes, y retroalimentar a Operaciones e Ingeniería para la mejora.</w:t>
      </w:r>
    </w:p>
    <w:p>
      <w:pPr>
        <w:pStyle w:val="ListBullet"/>
      </w:pPr>
      <w:r>
        <w:rPr>
          <w:rFonts w:ascii="Calibri" w:hAnsi="Calibri"/>
          <w:sz w:val="20"/>
        </w:rPr>
        <w:t>Documentar y difundir las lecciones aprendidas de las fallas recurrentes y de las garantías, para alimentar la mejora continua del servicio de post-venta.</w:t>
      </w:r>
    </w:p>
    <w:p>
      <w:pPr>
        <w:pStyle w:val="ListBullet"/>
      </w:pPr>
      <w:r>
        <w:rPr>
          <w:rFonts w:ascii="Calibri" w:hAnsi="Calibri"/>
          <w:sz w:val="20"/>
        </w:rPr>
        <w:t>Cumplir la política y los objetivos de calidad de SolarPro, orientando cada interacción a la satisfacción del cliente medida por el NPS.</w:t>
      </w:r>
    </w:p>
    <w:p>
      <w:pPr>
        <w:pStyle w:val="ListBullet"/>
      </w:pPr>
      <w:r>
        <w:rPr>
          <w:rFonts w:ascii="Calibri" w:hAnsi="Calibri"/>
          <w:sz w:val="20"/>
        </w:rPr>
        <w:t>Participar en las auditorías internas y en las actividades de mejora continua del proceso de post-venta.</w:t>
      </w:r>
    </w:p>
    <w:p>
      <w:pPr>
        <w:pStyle w:val="ListBullet"/>
      </w:pPr>
      <w:r>
        <w:rPr>
          <w:rFonts w:ascii="Calibri" w:hAnsi="Calibri"/>
          <w:sz w:val="20"/>
        </w:rPr>
        <w:t>Resguardar la confidencialidad de los datos del cliente y del expediente conforme a las reglas de la organización.</w:t>
      </w:r>
    </w:p>
    <w:p>
      <w:pPr>
        <w:keepNext/>
        <w:spacing w:before="280" w:after="80"/>
        <w:pBdr>
          <w:bottom w:val="single" w:sz="8" w:color="F0E528"/>
        </w:pBdr>
      </w:pPr>
      <w:r>
        <w:rPr>
          <w:rFonts w:ascii="Georgia" w:hAnsi="Georgia"/>
          <w:b/>
          <w:color w:val="0056B4"/>
          <w:sz w:val="26"/>
        </w:rPr>
        <w:t>4. Competencias</w:t>
      </w:r>
    </w:p>
    <w:p>
      <w:pPr>
        <w:keepNext/>
        <w:spacing w:before="200" w:after="60"/>
      </w:pPr>
      <w:r>
        <w:rPr>
          <w:rFonts w:ascii="Georgia" w:hAnsi="Georgia"/>
          <w:b/>
          <w:color w:val="1C242E"/>
          <w:sz w:val="22"/>
        </w:rPr>
        <w:t>Competencias blandas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Competencia</w:t>
            </w:r>
          </w:p>
        </w:tc>
        <w:tc>
          <w:tcPr>
            <w:tcW w:type="dxa" w:w="6980"/>
            <w:shd w:val="clear" w:fill="0056B4"/>
          </w:tcPr>
          <w:p>
            <w:pPr>
              <w:jc w:val="center"/>
            </w:pPr>
            <w:r/>
            <w:r>
              <w:rPr>
                <w:rFonts w:ascii="Calibri" w:hAnsi="Calibri"/>
                <w:b/>
                <w:color w:val="FFFFFF"/>
                <w:sz w:val="17"/>
              </w:rPr>
              <w:t>Descripción</w:t>
            </w:r>
          </w:p>
        </w:tc>
      </w:tr>
      <w:tr>
        <w:tc>
          <w:tcPr>
            <w:tcW w:type="dxa" w:w="2992"/>
          </w:tcPr>
          <w:p>
            <w:r/>
            <w:r>
              <w:rPr>
                <w:rFonts w:ascii="Calibri" w:hAnsi="Calibri"/>
                <w:b w:val="0"/>
                <w:sz w:val="19"/>
              </w:rPr>
              <w:t>Organización del Trabajo</w:t>
            </w:r>
          </w:p>
        </w:tc>
        <w:tc>
          <w:tcPr>
            <w:tcW w:type="dxa" w:w="6980"/>
          </w:tcPr>
          <w:p>
            <w:r/>
            <w:r>
              <w:rPr>
                <w:rFonts w:ascii="Calibri" w:hAnsi="Calibri"/>
                <w:b w:val="0"/>
                <w:sz w:val="19"/>
              </w:rPr>
              <w:t>Organiza la información en los formatos siguiendo los procedimientos.</w:t>
            </w:r>
          </w:p>
        </w:tc>
      </w:tr>
      <w:tr>
        <w:tc>
          <w:tcPr>
            <w:tcW w:type="dxa" w:w="2992"/>
          </w:tcPr>
          <w:p>
            <w:r/>
            <w:r>
              <w:rPr>
                <w:rFonts w:ascii="Calibri" w:hAnsi="Calibri"/>
                <w:b w:val="0"/>
                <w:sz w:val="19"/>
              </w:rPr>
              <w:t>Orientación a la Calidad</w:t>
            </w:r>
          </w:p>
        </w:tc>
        <w:tc>
          <w:tcPr>
            <w:tcW w:type="dxa" w:w="6980"/>
          </w:tcPr>
          <w:p>
            <w:r/>
            <w:r>
              <w:rPr>
                <w:rFonts w:ascii="Calibri" w:hAnsi="Calibri"/>
                <w:b w:val="0"/>
                <w:sz w:val="19"/>
              </w:rPr>
              <w:t>Gestiona el cumplimiento de los estándares y de la documentación.</w:t>
            </w:r>
          </w:p>
        </w:tc>
      </w:tr>
      <w:tr>
        <w:tc>
          <w:tcPr>
            <w:tcW w:type="dxa" w:w="2992"/>
          </w:tcPr>
          <w:p>
            <w:r/>
            <w:r>
              <w:rPr>
                <w:rFonts w:ascii="Calibri" w:hAnsi="Calibri"/>
                <w:b w:val="0"/>
                <w:sz w:val="19"/>
              </w:rPr>
              <w:t>Trabajo en Equipo</w:t>
            </w:r>
          </w:p>
        </w:tc>
        <w:tc>
          <w:tcPr>
            <w:tcW w:type="dxa" w:w="6980"/>
          </w:tcPr>
          <w:p>
            <w:r/>
            <w:r>
              <w:rPr>
                <w:rFonts w:ascii="Calibri" w:hAnsi="Calibri"/>
                <w:b w:val="0"/>
                <w:sz w:val="19"/>
              </w:rPr>
              <w:t>Colabora con las áreas técnicas y administrativas.</w:t>
            </w:r>
          </w:p>
        </w:tc>
      </w:tr>
      <w:tr>
        <w:tc>
          <w:tcPr>
            <w:tcW w:type="dxa" w:w="2992"/>
          </w:tcPr>
          <w:p>
            <w:r/>
            <w:r>
              <w:rPr>
                <w:rFonts w:ascii="Calibri" w:hAnsi="Calibri"/>
                <w:b w:val="0"/>
                <w:sz w:val="19"/>
              </w:rPr>
              <w:t>Toma de Decisiones</w:t>
            </w:r>
          </w:p>
        </w:tc>
        <w:tc>
          <w:tcPr>
            <w:tcW w:type="dxa" w:w="6980"/>
          </w:tcPr>
          <w:p>
            <w:r/>
            <w:r>
              <w:rPr>
                <w:rFonts w:ascii="Calibri" w:hAnsi="Calibri"/>
                <w:b w:val="0"/>
                <w:sz w:val="19"/>
              </w:rPr>
              <w:t>Decide con datos y con políticas en los tiempos adecuados.</w:t>
            </w:r>
          </w:p>
        </w:tc>
      </w:tr>
    </w:tbl>
    <w:p>
      <w:pPr>
        <w:keepNext/>
        <w:spacing w:before="200" w:after="60"/>
      </w:pPr>
      <w:r>
        <w:rPr>
          <w:rFonts w:ascii="Georgia" w:hAnsi="Georgia"/>
          <w:b/>
          <w:color w:val="1C242E"/>
          <w:sz w:val="22"/>
        </w:rPr>
        <w:t>Competencias técnicas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6980"/>
            <w:shd w:val="clear" w:fill="0056B4"/>
          </w:tcPr>
          <w:p>
            <w:pPr>
              <w:jc w:val="center"/>
            </w:pPr>
            <w:r/>
            <w:r>
              <w:rPr>
                <w:rFonts w:ascii="Calibri" w:hAnsi="Calibri"/>
                <w:b/>
                <w:color w:val="FFFFFF"/>
                <w:sz w:val="17"/>
              </w:rPr>
              <w:t>Competencia</w:t>
            </w:r>
          </w:p>
        </w:tc>
        <w:tc>
          <w:tcPr>
            <w:tcW w:type="dxa" w:w="2992"/>
            <w:shd w:val="clear" w:fill="0056B4"/>
          </w:tcPr>
          <w:p>
            <w:pPr>
              <w:jc w:val="center"/>
            </w:pPr>
            <w:r/>
            <w:r>
              <w:rPr>
                <w:rFonts w:ascii="Calibri" w:hAnsi="Calibri"/>
                <w:b/>
                <w:color w:val="FFFFFF"/>
                <w:sz w:val="17"/>
              </w:rPr>
              <w:t>Nivel requerido</w:t>
            </w:r>
          </w:p>
        </w:tc>
      </w:tr>
      <w:tr>
        <w:tc>
          <w:tcPr>
            <w:tcW w:type="dxa" w:w="6980"/>
          </w:tcPr>
          <w:p>
            <w:r/>
            <w:r>
              <w:rPr>
                <w:rFonts w:ascii="Calibri" w:hAnsi="Calibri"/>
                <w:b w:val="0"/>
                <w:sz w:val="19"/>
              </w:rPr>
              <w:t>Gestión de tickets y trazabilidad en CRM (BIND, Trello, CRM)</w:t>
            </w:r>
          </w:p>
        </w:tc>
        <w:tc>
          <w:tcPr>
            <w:tcW w:type="dxa" w:w="2992"/>
          </w:tcPr>
          <w:p>
            <w:r/>
            <w:r>
              <w:rPr>
                <w:rFonts w:ascii="Calibri" w:hAnsi="Calibri"/>
                <w:b w:val="0"/>
                <w:sz w:val="19"/>
              </w:rPr>
              <w:t>[por validar]</w:t>
            </w:r>
          </w:p>
        </w:tc>
      </w:tr>
      <w:tr>
        <w:tc>
          <w:tcPr>
            <w:tcW w:type="dxa" w:w="6980"/>
          </w:tcPr>
          <w:p>
            <w:r/>
            <w:r>
              <w:rPr>
                <w:rFonts w:ascii="Calibri" w:hAnsi="Calibri"/>
                <w:b w:val="0"/>
                <w:sz w:val="19"/>
              </w:rPr>
              <w:t>Gestión documental del expediente por caso</w:t>
            </w:r>
          </w:p>
        </w:tc>
        <w:tc>
          <w:tcPr>
            <w:tcW w:type="dxa" w:w="2992"/>
          </w:tcPr>
          <w:p>
            <w:r/>
            <w:r>
              <w:rPr>
                <w:rFonts w:ascii="Calibri" w:hAnsi="Calibri"/>
                <w:b w:val="0"/>
                <w:sz w:val="19"/>
              </w:rPr>
              <w:t>[por validar]</w:t>
            </w:r>
          </w:p>
        </w:tc>
      </w:tr>
      <w:tr>
        <w:tc>
          <w:tcPr>
            <w:tcW w:type="dxa" w:w="6980"/>
          </w:tcPr>
          <w:p>
            <w:r/>
            <w:r>
              <w:rPr>
                <w:rFonts w:ascii="Calibri" w:hAnsi="Calibri"/>
                <w:b w:val="0"/>
                <w:sz w:val="19"/>
              </w:rPr>
              <w:t>Políticas y límites de garantía</w:t>
            </w:r>
          </w:p>
        </w:tc>
        <w:tc>
          <w:tcPr>
            <w:tcW w:type="dxa" w:w="2992"/>
          </w:tcPr>
          <w:p>
            <w:r/>
            <w:r>
              <w:rPr>
                <w:rFonts w:ascii="Calibri" w:hAnsi="Calibri"/>
                <w:b w:val="0"/>
                <w:sz w:val="19"/>
              </w:rPr>
              <w:t>[por validar]</w:t>
            </w:r>
          </w:p>
        </w:tc>
      </w:tr>
      <w:tr>
        <w:tc>
          <w:tcPr>
            <w:tcW w:type="dxa" w:w="6980"/>
          </w:tcPr>
          <w:p>
            <w:r/>
            <w:r>
              <w:rPr>
                <w:rFonts w:ascii="Calibri" w:hAnsi="Calibri"/>
                <w:b w:val="0"/>
                <w:sz w:val="19"/>
              </w:rPr>
              <w:t>Componentes y fallas típicas fotovoltaicas</w:t>
            </w:r>
          </w:p>
        </w:tc>
        <w:tc>
          <w:tcPr>
            <w:tcW w:type="dxa" w:w="2992"/>
          </w:tcPr>
          <w:p>
            <w:r/>
            <w:r>
              <w:rPr>
                <w:rFonts w:ascii="Calibri" w:hAnsi="Calibri"/>
                <w:b w:val="0"/>
                <w:sz w:val="19"/>
              </w:rPr>
              <w:t>[por validar]</w:t>
            </w:r>
          </w:p>
        </w:tc>
      </w:tr>
      <w:tr>
        <w:tc>
          <w:tcPr>
            <w:tcW w:type="dxa" w:w="6980"/>
          </w:tcPr>
          <w:p>
            <w:r/>
            <w:r>
              <w:rPr>
                <w:rFonts w:ascii="Calibri" w:hAnsi="Calibri"/>
                <w:b w:val="0"/>
                <w:sz w:val="19"/>
              </w:rPr>
              <w:t>Tramitología básica CFE y conceptos fotovoltaicos</w:t>
            </w:r>
          </w:p>
        </w:tc>
        <w:tc>
          <w:tcPr>
            <w:tcW w:type="dxa" w:w="2992"/>
          </w:tcPr>
          <w:p>
            <w:r/>
            <w:r>
              <w:rPr>
                <w:rFonts w:ascii="Calibri" w:hAnsi="Calibri"/>
                <w:b w:val="0"/>
                <w:sz w:val="19"/>
              </w:rPr>
              <w:t>[por validar]</w:t>
            </w:r>
          </w:p>
        </w:tc>
      </w:tr>
      <w:tr>
        <w:tc>
          <w:tcPr>
            <w:tcW w:type="dxa" w:w="6980"/>
          </w:tcPr>
          <w:p>
            <w:r/>
            <w:r>
              <w:rPr>
                <w:rFonts w:ascii="Calibri" w:hAnsi="Calibri"/>
                <w:b w:val="0"/>
                <w:sz w:val="19"/>
              </w:rPr>
              <w:t>Gestión de encuestas y NPS con análisis básico</w:t>
            </w:r>
          </w:p>
        </w:tc>
        <w:tc>
          <w:tcPr>
            <w:tcW w:type="dxa" w:w="2992"/>
          </w:tcPr>
          <w:p>
            <w:r/>
            <w:r>
              <w:rPr>
                <w:rFonts w:ascii="Calibri" w:hAnsi="Calibri"/>
                <w:b w:val="0"/>
                <w:sz w:val="19"/>
              </w:rPr>
              <w:t>[por validar]</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perfil vigente enumera los conocimientos técnicos del puesto sin asignar un nivel de dominio. El nivel requerido por competencia se define con la Dirección en la primera revisión del documento.</w:t>
            </w:r>
          </w:p>
        </w:tc>
      </w:tr>
    </w:tbl>
    <w:p>
      <w:pPr>
        <w:spacing w:after="40"/>
      </w:pPr>
    </w:p>
    <w:p>
      <w:pPr>
        <w:keepNext/>
        <w:spacing w:before="280" w:after="80"/>
        <w:pBdr>
          <w:bottom w:val="single" w:sz="8" w:color="F0E528"/>
        </w:pBdr>
      </w:pPr>
      <w:r>
        <w:rPr>
          <w:rFonts w:ascii="Georgia" w:hAnsi="Georgia"/>
          <w:b/>
          <w:color w:val="0056B4"/>
          <w:sz w:val="26"/>
        </w:rPr>
        <w:t>5. Requisitos del puesto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792"/>
            <w:shd w:val="clear" w:fill="0056B4"/>
          </w:tcPr>
          <w:p>
            <w:pPr>
              <w:jc w:val="center"/>
            </w:pPr>
            <w:r/>
            <w:r>
              <w:rPr>
                <w:rFonts w:ascii="Calibri" w:hAnsi="Calibri"/>
                <w:b/>
                <w:color w:val="FFFFFF"/>
                <w:sz w:val="17"/>
              </w:rPr>
              <w:t>Requisito</w:t>
            </w:r>
          </w:p>
        </w:tc>
        <w:tc>
          <w:tcPr>
            <w:tcW w:type="dxa" w:w="7180"/>
            <w:shd w:val="clear" w:fill="0056B4"/>
          </w:tcPr>
          <w:p>
            <w:pPr>
              <w:jc w:val="center"/>
            </w:pPr>
            <w:r/>
            <w:r>
              <w:rPr>
                <w:rFonts w:ascii="Calibri" w:hAnsi="Calibri"/>
                <w:b/>
                <w:color w:val="FFFFFF"/>
                <w:sz w:val="17"/>
              </w:rPr>
              <w:t>Detalle</w:t>
            </w:r>
          </w:p>
        </w:tc>
      </w:tr>
      <w:tr>
        <w:tc>
          <w:tcPr>
            <w:tcW w:type="dxa" w:w="2792"/>
          </w:tcPr>
          <w:p>
            <w:r/>
            <w:r>
              <w:rPr>
                <w:rFonts w:ascii="Calibri" w:hAnsi="Calibri"/>
                <w:b w:val="0"/>
                <w:sz w:val="19"/>
              </w:rPr>
              <w:t>Escolaridad</w:t>
            </w:r>
          </w:p>
        </w:tc>
        <w:tc>
          <w:tcPr>
            <w:tcW w:type="dxa" w:w="7180"/>
          </w:tcPr>
          <w:p>
            <w:r/>
            <w:r>
              <w:rPr>
                <w:rFonts w:ascii="Calibri" w:hAnsi="Calibri"/>
                <w:b w:val="0"/>
                <w:sz w:val="19"/>
              </w:rPr>
              <w:t>[por validar con la Dirección]</w:t>
            </w:r>
          </w:p>
        </w:tc>
      </w:tr>
      <w:tr>
        <w:tc>
          <w:tcPr>
            <w:tcW w:type="dxa" w:w="2792"/>
          </w:tcPr>
          <w:p>
            <w:r/>
            <w:r>
              <w:rPr>
                <w:rFonts w:ascii="Calibri" w:hAnsi="Calibri"/>
                <w:b w:val="0"/>
                <w:sz w:val="19"/>
              </w:rPr>
              <w:t>Experiencia</w:t>
            </w:r>
          </w:p>
        </w:tc>
        <w:tc>
          <w:tcPr>
            <w:tcW w:type="dxa" w:w="7180"/>
          </w:tcPr>
          <w:p>
            <w:r/>
            <w:r>
              <w:rPr>
                <w:rFonts w:ascii="Calibri" w:hAnsi="Calibri"/>
                <w:b w:val="0"/>
                <w:sz w:val="19"/>
              </w:rPr>
              <w:t>[por validar con la Dirección]</w:t>
            </w:r>
          </w:p>
        </w:tc>
      </w:tr>
      <w:tr>
        <w:tc>
          <w:tcPr>
            <w:tcW w:type="dxa" w:w="2792"/>
          </w:tcPr>
          <w:p>
            <w:r/>
            <w:r>
              <w:rPr>
                <w:rFonts w:ascii="Calibri" w:hAnsi="Calibri"/>
                <w:b w:val="0"/>
                <w:sz w:val="19"/>
              </w:rPr>
              <w:t>Certificaciones</w:t>
            </w:r>
          </w:p>
        </w:tc>
        <w:tc>
          <w:tcPr>
            <w:tcW w:type="dxa" w:w="7180"/>
          </w:tcPr>
          <w:p>
            <w:r/>
            <w:r>
              <w:rPr>
                <w:rFonts w:ascii="Calibri" w:hAnsi="Calibri"/>
                <w:b w:val="0"/>
                <w:sz w:val="19"/>
              </w:rPr>
              <w:t>[por validar con la Dirección]</w:t>
            </w:r>
          </w:p>
        </w:tc>
      </w:tr>
      <w:tr>
        <w:tc>
          <w:tcPr>
            <w:tcW w:type="dxa" w:w="2792"/>
          </w:tcPr>
          <w:p>
            <w:r/>
            <w:r>
              <w:rPr>
                <w:rFonts w:ascii="Calibri" w:hAnsi="Calibri"/>
                <w:b w:val="0"/>
                <w:sz w:val="19"/>
              </w:rPr>
              <w:t>Modalidad</w:t>
            </w:r>
          </w:p>
        </w:tc>
        <w:tc>
          <w:tcPr>
            <w:tcW w:type="dxa" w:w="7180"/>
          </w:tcPr>
          <w:p>
            <w:r/>
            <w:r>
              <w:rPr>
                <w:rFonts w:ascii="Calibri" w:hAnsi="Calibri"/>
                <w:b w:val="0"/>
                <w:sz w:val="19"/>
              </w:rPr>
              <w:t>Presencial en la matriz de SolarPro Chihuahua [por validar].</w:t>
            </w:r>
          </w:p>
        </w:tc>
      </w:tr>
      <w:tr>
        <w:tc>
          <w:tcPr>
            <w:tcW w:type="dxa" w:w="2792"/>
          </w:tcPr>
          <w:p>
            <w:r/>
            <w:r>
              <w:rPr>
                <w:rFonts w:ascii="Calibri" w:hAnsi="Calibri"/>
                <w:b w:val="0"/>
                <w:sz w:val="19"/>
              </w:rPr>
              <w:t>Herramientas clave</w:t>
            </w:r>
          </w:p>
        </w:tc>
        <w:tc>
          <w:tcPr>
            <w:tcW w:type="dxa" w:w="7180"/>
          </w:tcPr>
          <w:p>
            <w:r/>
            <w:r>
              <w:rPr>
                <w:rFonts w:ascii="Calibri" w:hAnsi="Calibri"/>
                <w:b w:val="0"/>
                <w:sz w:val="19"/>
              </w:rPr>
              <w:t>CRM o BIND para tickets y trazabilidad, Trello para gestión documental y Office.</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El perfil vigente no especifica formación, experiencia ni certificaciones. Estos requisitos se definen y validan con la Dirección en la primera revisión del documento.</w:t>
            </w:r>
          </w:p>
        </w:tc>
      </w:tr>
    </w:tbl>
    <w:p>
      <w:pPr>
        <w:spacing w:after="40"/>
      </w:pPr>
    </w:p>
    <w:p>
      <w:pPr>
        <w:keepNext/>
        <w:spacing w:before="280" w:after="80"/>
        <w:pBdr>
          <w:bottom w:val="single" w:sz="8" w:color="F0E528"/>
        </w:pBdr>
      </w:pPr>
      <w:r>
        <w:rPr>
          <w:rFonts w:ascii="Georgia" w:hAnsi="Georgia"/>
          <w:b/>
          <w:color w:val="0056B4"/>
          <w:sz w:val="26"/>
        </w:rPr>
        <w:t>6. Indicadores del puesto (KPIs)</w:t>
      </w:r>
    </w:p>
    <w:p>
      <w:pPr>
        <w:spacing w:after="120"/>
      </w:pPr>
      <w:r>
        <w:rPr>
          <w:rFonts w:ascii="Calibri" w:hAnsi="Calibri"/>
          <w:color w:val="1C242E"/>
          <w:sz w:val="21"/>
        </w:rPr>
        <w:t>Indicadores con los que se mide el desempeño del puesto, derivados del método de medición del perfil vigente. Las metas sin dato de referencia se confirman con la Dirección en la primera revisión del perfil.</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390"/>
            <w:shd w:val="clear" w:fill="0056B4"/>
          </w:tcPr>
          <w:p>
            <w:pPr>
              <w:jc w:val="center"/>
            </w:pPr>
            <w:r/>
            <w:r>
              <w:rPr>
                <w:rFonts w:ascii="Calibri" w:hAnsi="Calibri"/>
                <w:b/>
                <w:color w:val="FFFFFF"/>
                <w:sz w:val="17"/>
              </w:rPr>
              <w:t>Indicador</w:t>
            </w:r>
          </w:p>
        </w:tc>
        <w:tc>
          <w:tcPr>
            <w:tcW w:type="dxa" w:w="2593"/>
            <w:shd w:val="clear" w:fill="0056B4"/>
          </w:tcPr>
          <w:p>
            <w:pPr>
              <w:jc w:val="center"/>
            </w:pPr>
            <w:r/>
            <w:r>
              <w:rPr>
                <w:rFonts w:ascii="Calibri" w:hAnsi="Calibri"/>
                <w:b/>
                <w:color w:val="FFFFFF"/>
                <w:sz w:val="17"/>
              </w:rPr>
              <w:t>Meta</w:t>
            </w:r>
          </w:p>
        </w:tc>
        <w:tc>
          <w:tcPr>
            <w:tcW w:type="dxa" w:w="1496"/>
            <w:shd w:val="clear" w:fill="0056B4"/>
          </w:tcPr>
          <w:p>
            <w:pPr>
              <w:jc w:val="center"/>
            </w:pPr>
            <w:r/>
            <w:r>
              <w:rPr>
                <w:rFonts w:ascii="Calibri" w:hAnsi="Calibri"/>
                <w:b/>
                <w:color w:val="FFFFFF"/>
                <w:sz w:val="17"/>
              </w:rPr>
              <w:t>Frecuencia</w:t>
            </w:r>
          </w:p>
        </w:tc>
        <w:tc>
          <w:tcPr>
            <w:tcW w:type="dxa" w:w="2493"/>
            <w:shd w:val="clear" w:fill="0056B4"/>
          </w:tcPr>
          <w:p>
            <w:pPr>
              <w:jc w:val="center"/>
            </w:pPr>
            <w:r/>
            <w:r>
              <w:rPr>
                <w:rFonts w:ascii="Calibri" w:hAnsi="Calibri"/>
                <w:b/>
                <w:color w:val="FFFFFF"/>
                <w:sz w:val="17"/>
              </w:rPr>
              <w:t>Fuente</w:t>
            </w:r>
          </w:p>
        </w:tc>
      </w:tr>
      <w:tr>
        <w:tc>
          <w:tcPr>
            <w:tcW w:type="dxa" w:w="3390"/>
          </w:tcPr>
          <w:p>
            <w:r/>
            <w:r>
              <w:rPr>
                <w:rFonts w:ascii="Calibri" w:hAnsi="Calibri"/>
                <w:b w:val="0"/>
                <w:sz w:val="19"/>
              </w:rPr>
              <w:t>Tiempo de primera respuesta del ticket (TPR)</w:t>
            </w:r>
          </w:p>
        </w:tc>
        <w:tc>
          <w:tcPr>
            <w:tcW w:type="dxa" w:w="2593"/>
          </w:tcPr>
          <w:p>
            <w:r/>
            <w:r>
              <w:rPr>
                <w:rFonts w:ascii="Calibri" w:hAnsi="Calibri"/>
                <w:b w:val="0"/>
                <w:sz w:val="19"/>
              </w:rPr>
              <w:t>Dentro del SLA de 24 a 48 horas</w:t>
            </w:r>
          </w:p>
        </w:tc>
        <w:tc>
          <w:tcPr>
            <w:tcW w:type="dxa" w:w="1496"/>
          </w:tcPr>
          <w:p>
            <w:r/>
            <w:r>
              <w:rPr>
                <w:rFonts w:ascii="Calibri" w:hAnsi="Calibri"/>
                <w:b w:val="0"/>
                <w:sz w:val="19"/>
              </w:rPr>
              <w:t>Diaria</w:t>
            </w:r>
          </w:p>
        </w:tc>
        <w:tc>
          <w:tcPr>
            <w:tcW w:type="dxa" w:w="2493"/>
          </w:tcPr>
          <w:p>
            <w:r/>
            <w:r>
              <w:rPr>
                <w:rFonts w:ascii="Calibri" w:hAnsi="Calibri"/>
                <w:b w:val="0"/>
                <w:sz w:val="19"/>
              </w:rPr>
              <w:t>Tablero CRM y bitácora</w:t>
            </w:r>
          </w:p>
        </w:tc>
      </w:tr>
      <w:tr>
        <w:tc>
          <w:tcPr>
            <w:tcW w:type="dxa" w:w="3390"/>
          </w:tcPr>
          <w:p>
            <w:r/>
            <w:r>
              <w:rPr>
                <w:rFonts w:ascii="Calibri" w:hAnsi="Calibri"/>
                <w:b w:val="0"/>
                <w:sz w:val="19"/>
              </w:rPr>
              <w:t>Cumplimiento del SLA de tickets</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Diaria</w:t>
            </w:r>
          </w:p>
        </w:tc>
        <w:tc>
          <w:tcPr>
            <w:tcW w:type="dxa" w:w="2493"/>
          </w:tcPr>
          <w:p>
            <w:r/>
            <w:r>
              <w:rPr>
                <w:rFonts w:ascii="Calibri" w:hAnsi="Calibri"/>
                <w:b w:val="0"/>
                <w:sz w:val="19"/>
              </w:rPr>
              <w:t>Tablero CRM</w:t>
            </w:r>
          </w:p>
        </w:tc>
      </w:tr>
      <w:tr>
        <w:tc>
          <w:tcPr>
            <w:tcW w:type="dxa" w:w="3390"/>
          </w:tcPr>
          <w:p>
            <w:r/>
            <w:r>
              <w:rPr>
                <w:rFonts w:ascii="Calibri" w:hAnsi="Calibri"/>
                <w:b w:val="0"/>
                <w:sz w:val="19"/>
              </w:rPr>
              <w:t>Porcentaje de clasificación correcta de tickets</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Mensual</w:t>
            </w:r>
          </w:p>
        </w:tc>
        <w:tc>
          <w:tcPr>
            <w:tcW w:type="dxa" w:w="2493"/>
          </w:tcPr>
          <w:p>
            <w:r/>
            <w:r>
              <w:rPr>
                <w:rFonts w:ascii="Calibri" w:hAnsi="Calibri"/>
                <w:b w:val="0"/>
                <w:sz w:val="19"/>
              </w:rPr>
              <w:t>Tablero CRM y bitácora</w:t>
            </w:r>
          </w:p>
        </w:tc>
      </w:tr>
      <w:tr>
        <w:tc>
          <w:tcPr>
            <w:tcW w:type="dxa" w:w="3390"/>
          </w:tcPr>
          <w:p>
            <w:r/>
            <w:r>
              <w:rPr>
                <w:rFonts w:ascii="Calibri" w:hAnsi="Calibri"/>
                <w:b w:val="0"/>
                <w:sz w:val="19"/>
              </w:rPr>
              <w:t>Porcentaje de cumplimiento de la fecha comprometida</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Mensual</w:t>
            </w:r>
          </w:p>
        </w:tc>
        <w:tc>
          <w:tcPr>
            <w:tcW w:type="dxa" w:w="2493"/>
          </w:tcPr>
          <w:p>
            <w:r/>
            <w:r>
              <w:rPr>
                <w:rFonts w:ascii="Calibri" w:hAnsi="Calibri"/>
                <w:b w:val="0"/>
                <w:sz w:val="19"/>
              </w:rPr>
              <w:t>Orden de servicio y agenda</w:t>
            </w:r>
          </w:p>
        </w:tc>
      </w:tr>
      <w:tr>
        <w:tc>
          <w:tcPr>
            <w:tcW w:type="dxa" w:w="3390"/>
          </w:tcPr>
          <w:p>
            <w:r/>
            <w:r>
              <w:rPr>
                <w:rFonts w:ascii="Calibri" w:hAnsi="Calibri"/>
                <w:b w:val="0"/>
                <w:sz w:val="19"/>
              </w:rPr>
              <w:t>Órdenes de servicio cerradas con checklist y evidencia</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Por caso</w:t>
            </w:r>
          </w:p>
        </w:tc>
        <w:tc>
          <w:tcPr>
            <w:tcW w:type="dxa" w:w="2493"/>
          </w:tcPr>
          <w:p>
            <w:r/>
            <w:r>
              <w:rPr>
                <w:rFonts w:ascii="Calibri" w:hAnsi="Calibri"/>
                <w:b w:val="0"/>
                <w:sz w:val="19"/>
              </w:rPr>
              <w:t>Expediente y orden de servicio</w:t>
            </w:r>
          </w:p>
        </w:tc>
      </w:tr>
      <w:tr>
        <w:tc>
          <w:tcPr>
            <w:tcW w:type="dxa" w:w="3390"/>
          </w:tcPr>
          <w:p>
            <w:r/>
            <w:r>
              <w:rPr>
                <w:rFonts w:ascii="Calibri" w:hAnsi="Calibri"/>
                <w:b w:val="0"/>
                <w:sz w:val="19"/>
              </w:rPr>
              <w:t>NPS a 30 días</w:t>
            </w:r>
          </w:p>
        </w:tc>
        <w:tc>
          <w:tcPr>
            <w:tcW w:type="dxa" w:w="2593"/>
          </w:tcPr>
          <w:p>
            <w:r/>
            <w:r>
              <w:rPr>
                <w:rFonts w:ascii="Calibri" w:hAnsi="Calibri"/>
                <w:b w:val="0"/>
                <w:sz w:val="19"/>
              </w:rPr>
              <w:t>[por definir con la Dirección]</w:t>
            </w:r>
          </w:p>
        </w:tc>
        <w:tc>
          <w:tcPr>
            <w:tcW w:type="dxa" w:w="1496"/>
          </w:tcPr>
          <w:p>
            <w:r/>
            <w:r>
              <w:rPr>
                <w:rFonts w:ascii="Calibri" w:hAnsi="Calibri"/>
                <w:b w:val="0"/>
                <w:sz w:val="19"/>
              </w:rPr>
              <w:t>Mensual</w:t>
            </w:r>
          </w:p>
        </w:tc>
        <w:tc>
          <w:tcPr>
            <w:tcW w:type="dxa" w:w="2493"/>
          </w:tcPr>
          <w:p>
            <w:r/>
            <w:r>
              <w:rPr>
                <w:rFonts w:ascii="Calibri" w:hAnsi="Calibri"/>
                <w:b w:val="0"/>
                <w:sz w:val="19"/>
              </w:rPr>
              <w:t>Encuesta NPS</w:t>
            </w:r>
          </w:p>
        </w:tc>
      </w:tr>
      <w:tr>
        <w:tc>
          <w:tcPr>
            <w:tcW w:type="dxa" w:w="3390"/>
          </w:tcPr>
          <w:p>
            <w:r/>
            <w:r>
              <w:rPr>
                <w:rFonts w:ascii="Calibri" w:hAnsi="Calibri"/>
                <w:b w:val="0"/>
                <w:sz w:val="19"/>
              </w:rPr>
              <w:t>Expedientes completos con evidencia de cierre</w:t>
            </w:r>
          </w:p>
        </w:tc>
        <w:tc>
          <w:tcPr>
            <w:tcW w:type="dxa" w:w="2593"/>
          </w:tcPr>
          <w:p>
            <w:r/>
            <w:r>
              <w:rPr>
                <w:rFonts w:ascii="Calibri" w:hAnsi="Calibri"/>
                <w:b w:val="0"/>
                <w:sz w:val="19"/>
              </w:rPr>
              <w:t>Igual o superior a 95% [por validar]</w:t>
            </w:r>
          </w:p>
        </w:tc>
        <w:tc>
          <w:tcPr>
            <w:tcW w:type="dxa" w:w="1496"/>
          </w:tcPr>
          <w:p>
            <w:r/>
            <w:r>
              <w:rPr>
                <w:rFonts w:ascii="Calibri" w:hAnsi="Calibri"/>
                <w:b w:val="0"/>
                <w:sz w:val="19"/>
              </w:rPr>
              <w:t>Mensual</w:t>
            </w:r>
          </w:p>
        </w:tc>
        <w:tc>
          <w:tcPr>
            <w:tcW w:type="dxa" w:w="2493"/>
          </w:tcPr>
          <w:p>
            <w:r/>
            <w:r>
              <w:rPr>
                <w:rFonts w:ascii="Calibri" w:hAnsi="Calibri"/>
                <w:b w:val="0"/>
                <w:sz w:val="19"/>
              </w:rPr>
              <w:t>Dashboard KPI</w:t>
            </w:r>
          </w:p>
        </w:tc>
      </w:tr>
    </w:tbl>
    <w:p>
      <w:pPr>
        <w:keepNext/>
        <w:spacing w:before="280" w:after="80"/>
        <w:pBdr>
          <w:bottom w:val="single" w:sz="8" w:color="F0E528"/>
        </w:pBdr>
      </w:pPr>
      <w:r>
        <w:rPr>
          <w:rFonts w:ascii="Georgia" w:hAnsi="Georgia"/>
          <w:b/>
          <w:color w:val="0056B4"/>
          <w:sz w:val="26"/>
        </w:rPr>
        <w:t>7. Relaciones y línea de reporte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3390"/>
            <w:shd w:val="clear" w:fill="0056B4"/>
          </w:tcPr>
          <w:p>
            <w:pPr>
              <w:jc w:val="center"/>
            </w:pPr>
            <w:r/>
            <w:r>
              <w:rPr>
                <w:rFonts w:ascii="Calibri" w:hAnsi="Calibri"/>
                <w:b/>
                <w:color w:val="FFFFFF"/>
                <w:sz w:val="17"/>
              </w:rPr>
              <w:t>Relación</w:t>
            </w:r>
          </w:p>
        </w:tc>
        <w:tc>
          <w:tcPr>
            <w:tcW w:type="dxa" w:w="6582"/>
            <w:shd w:val="clear" w:fill="0056B4"/>
          </w:tcPr>
          <w:p>
            <w:pPr>
              <w:jc w:val="center"/>
            </w:pPr>
            <w:r/>
            <w:r>
              <w:rPr>
                <w:rFonts w:ascii="Calibri" w:hAnsi="Calibri"/>
                <w:b/>
                <w:color w:val="FFFFFF"/>
                <w:sz w:val="17"/>
              </w:rPr>
              <w:t>Rol</w:t>
            </w:r>
          </w:p>
        </w:tc>
      </w:tr>
      <w:tr>
        <w:tc>
          <w:tcPr>
            <w:tcW w:type="dxa" w:w="3390"/>
          </w:tcPr>
          <w:p>
            <w:r/>
            <w:r>
              <w:rPr>
                <w:rFonts w:ascii="Calibri" w:hAnsi="Calibri"/>
                <w:b w:val="0"/>
                <w:sz w:val="19"/>
              </w:rPr>
              <w:t>Reporta a</w:t>
            </w:r>
          </w:p>
        </w:tc>
        <w:tc>
          <w:tcPr>
            <w:tcW w:type="dxa" w:w="6582"/>
          </w:tcPr>
          <w:p>
            <w:r/>
            <w:r>
              <w:rPr>
                <w:rFonts w:ascii="Calibri" w:hAnsi="Calibri"/>
                <w:b w:val="0"/>
                <w:sz w:val="19"/>
              </w:rPr>
              <w:t>Gerencia Comercial [por validar con la Dirección]</w:t>
            </w:r>
          </w:p>
        </w:tc>
      </w:tr>
      <w:tr>
        <w:tc>
          <w:tcPr>
            <w:tcW w:type="dxa" w:w="3390"/>
          </w:tcPr>
          <w:p>
            <w:r/>
            <w:r>
              <w:rPr>
                <w:rFonts w:ascii="Calibri" w:hAnsi="Calibri"/>
                <w:b w:val="0"/>
                <w:sz w:val="19"/>
              </w:rPr>
              <w:t>Supervisa a</w:t>
            </w:r>
          </w:p>
        </w:tc>
        <w:tc>
          <w:tcPr>
            <w:tcW w:type="dxa" w:w="6582"/>
          </w:tcPr>
          <w:p>
            <w:r/>
            <w:r>
              <w:rPr>
                <w:rFonts w:ascii="Calibri" w:hAnsi="Calibri"/>
                <w:b w:val="0"/>
                <w:sz w:val="19"/>
              </w:rPr>
              <w:t>Ninguno [por validar con la Dirección]</w:t>
            </w:r>
          </w:p>
        </w:tc>
      </w:tr>
      <w:tr>
        <w:tc>
          <w:tcPr>
            <w:tcW w:type="dxa" w:w="3390"/>
          </w:tcPr>
          <w:p>
            <w:r/>
            <w:r>
              <w:rPr>
                <w:rFonts w:ascii="Calibri" w:hAnsi="Calibri"/>
                <w:b w:val="0"/>
                <w:sz w:val="19"/>
              </w:rPr>
              <w:t>Coordina con</w:t>
            </w:r>
          </w:p>
        </w:tc>
        <w:tc>
          <w:tcPr>
            <w:tcW w:type="dxa" w:w="6582"/>
          </w:tcPr>
          <w:p>
            <w:r/>
            <w:r>
              <w:rPr>
                <w:rFonts w:ascii="Calibri" w:hAnsi="Calibri"/>
                <w:b w:val="0"/>
                <w:sz w:val="19"/>
              </w:rPr>
              <w:t>Áreas técnicas de Operaciones e Ingeniería, para el diagnóstico, la agenda y la ejecución del servicio</w:t>
            </w:r>
          </w:p>
        </w:tc>
      </w:tr>
      <w:tr>
        <w:tc>
          <w:tcPr>
            <w:tcW w:type="dxa" w:w="3390"/>
          </w:tcPr>
          <w:p>
            <w:r/>
            <w:r>
              <w:rPr>
                <w:rFonts w:ascii="Calibri" w:hAnsi="Calibri"/>
                <w:b w:val="0"/>
                <w:sz w:val="19"/>
              </w:rPr>
              <w:t>Retroalimenta a</w:t>
            </w:r>
          </w:p>
        </w:tc>
        <w:tc>
          <w:tcPr>
            <w:tcW w:type="dxa" w:w="6582"/>
          </w:tcPr>
          <w:p>
            <w:r/>
            <w:r>
              <w:rPr>
                <w:rFonts w:ascii="Calibri" w:hAnsi="Calibri"/>
                <w:b w:val="0"/>
                <w:sz w:val="19"/>
              </w:rPr>
              <w:t>Operaciones e Ingeniería, sobre las fallas recurrentes detectadas en post-venta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Este perfil describe roles, no personas. La línea de reporte se confirma con la Dirección. Cualquier cambio de estructura se refleja en una nueva versión controlada del documento.</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Comercial</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Servicio Postventa · PER-SPO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