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Supervisor de Mantenimiento</w:t>
      </w:r>
    </w:p>
    <w:p>
      <w:pPr>
        <w:jc w:val="center"/>
      </w:pPr>
      <w:r>
        <w:rPr>
          <w:color w:val="F0E528"/>
          <w:sz w:val="24"/>
        </w:rPr>
        <w:t>________</w:t>
      </w:r>
    </w:p>
    <w:p>
      <w:pPr>
        <w:jc w:val="center"/>
      </w:pPr>
      <w:r>
        <w:rPr>
          <w:rFonts w:ascii="Georgia" w:hAnsi="Georgia"/>
          <w:i/>
          <w:color w:val="595959"/>
          <w:sz w:val="26"/>
        </w:rPr>
        <w:t>Perfil de Puesto controlado</w:t>
      </w:r>
    </w:p>
    <w:p>
      <w:pPr>
        <w:spacing w:before="600"/>
        <w:jc w:val="center"/>
      </w:pPr>
      <w:r>
        <w:rPr>
          <w:b/>
          <w:color w:val="1C242E"/>
          <w:sz w:val="22"/>
        </w:rPr>
        <w:t>Soluciones Energéticas JEA, S.A. de C.V.</w:t>
      </w:r>
    </w:p>
    <w:p>
      <w:pPr>
        <w:jc w:val="center"/>
      </w:pPr>
      <w:r>
        <w:rPr>
          <w:color w:val="595959"/>
          <w:sz w:val="20"/>
        </w:rPr>
        <w:t>PER-SMA  ·  Versión 1  ·  8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PER-SMA</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8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t>Por definir</w:t>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Confidencial</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Chihuahua · servicio en sitio de clientes [por validar]</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8 de septiembre de 2026</w:t>
            </w:r>
          </w:p>
        </w:tc>
        <w:tc>
          <w:tcPr>
            <w:tcW w:type="dxa" w:w="5584"/>
          </w:tcPr>
          <w:p>
            <w:r/>
            <w:r>
              <w:rPr>
                <w:rFonts w:ascii="Calibri" w:hAnsi="Calibri"/>
                <w:b w:val="0"/>
                <w:sz w:val="19"/>
              </w:rPr>
              <w:t>Emisión inicial como documento controlado del SGC. Migración del perfil editorial a formato ISO, incorporando las responsabilidades del SGC del puesto y los indicadores del puesto (KPIs).</w:t>
            </w:r>
          </w:p>
        </w:tc>
        <w:tc>
          <w:tcPr>
            <w:tcW w:type="dxa" w:w="1596"/>
          </w:tcPr>
          <w:p>
            <w:r/>
            <w:r>
              <w:rPr>
                <w:rFonts w:ascii="Calibri" w:hAnsi="Calibri"/>
                <w:b w:val="0"/>
                <w:sz w:val="19"/>
              </w:rPr>
              <w:t>DETA Consultores</w:t>
            </w:r>
          </w:p>
        </w:tc>
      </w:tr>
    </w:tbl>
    <w:p>
      <w:r>
        <w:br w:type="page"/>
      </w:r>
    </w:p>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Control del documento</w:t>
      </w:r>
    </w:p>
    <w:p>
      <w:pPr>
        <w:spacing w:after="40"/>
      </w:pPr>
      <w:r>
        <w:rPr>
          <w:rFonts w:ascii="Calibri" w:hAnsi="Calibri"/>
          <w:color w:val="1C242E"/>
          <w:sz w:val="20"/>
        </w:rPr>
        <w:t>Historial de revisiones</w:t>
      </w:r>
    </w:p>
    <w:p>
      <w:pPr>
        <w:spacing w:after="40"/>
      </w:pPr>
      <w:r>
        <w:rPr>
          <w:rFonts w:ascii="Calibri" w:hAnsi="Calibri"/>
          <w:color w:val="1C242E"/>
          <w:sz w:val="20"/>
        </w:rPr>
        <w:t>1. Objetivo del puesto</w:t>
      </w:r>
    </w:p>
    <w:p>
      <w:pPr>
        <w:spacing w:after="40"/>
      </w:pPr>
      <w:r>
        <w:rPr>
          <w:rFonts w:ascii="Calibri" w:hAnsi="Calibri"/>
          <w:color w:val="1C242E"/>
          <w:sz w:val="20"/>
        </w:rPr>
        <w:t>2. Áreas de efectividad</w:t>
      </w:r>
    </w:p>
    <w:p>
      <w:pPr>
        <w:spacing w:after="40"/>
      </w:pPr>
      <w:r>
        <w:rPr>
          <w:rFonts w:ascii="Calibri" w:hAnsi="Calibri"/>
          <w:color w:val="1C242E"/>
          <w:sz w:val="20"/>
        </w:rPr>
        <w:t>3. Responsabilidades del SGC del puesto</w:t>
      </w:r>
    </w:p>
    <w:p>
      <w:pPr>
        <w:spacing w:after="40"/>
      </w:pPr>
      <w:r>
        <w:rPr>
          <w:rFonts w:ascii="Calibri" w:hAnsi="Calibri"/>
          <w:color w:val="1C242E"/>
          <w:sz w:val="20"/>
        </w:rPr>
        <w:t>4. Competencias</w:t>
      </w:r>
    </w:p>
    <w:p>
      <w:pPr>
        <w:spacing w:after="40"/>
      </w:pPr>
      <w:r>
        <w:rPr>
          <w:rFonts w:ascii="Calibri" w:hAnsi="Calibri"/>
          <w:color w:val="1C242E"/>
          <w:sz w:val="20"/>
        </w:rPr>
        <w:t>5. Requisitos del puesto</w:t>
      </w:r>
    </w:p>
    <w:p>
      <w:pPr>
        <w:spacing w:after="40"/>
      </w:pPr>
      <w:r>
        <w:rPr>
          <w:rFonts w:ascii="Calibri" w:hAnsi="Calibri"/>
          <w:color w:val="1C242E"/>
          <w:sz w:val="20"/>
        </w:rPr>
        <w:t>6. Indicadores del puesto (KPIs)</w:t>
      </w:r>
    </w:p>
    <w:p>
      <w:pPr>
        <w:spacing w:after="40"/>
      </w:pPr>
      <w:r>
        <w:rPr>
          <w:rFonts w:ascii="Calibri" w:hAnsi="Calibri"/>
          <w:color w:val="1C242E"/>
          <w:sz w:val="20"/>
        </w:rPr>
        <w:t>7. Relaciones y línea de reporte</w:t>
      </w:r>
    </w:p>
    <w:p>
      <w:pPr>
        <w:spacing w:after="40"/>
      </w:pPr>
      <w:r>
        <w:rPr>
          <w:rFonts w:ascii="Calibri" w:hAnsi="Calibri"/>
          <w:color w:val="1C242E"/>
          <w:sz w:val="20"/>
        </w:rPr>
        <w:t>Aprobación</w:t>
      </w:r>
    </w:p>
    <w:p>
      <w:r>
        <w:br w:type="page"/>
      </w:r>
    </w:p>
    <w:p>
      <w:pPr>
        <w:keepNext/>
        <w:spacing w:before="280" w:after="80"/>
        <w:pBdr>
          <w:bottom w:val="single" w:sz="8" w:color="F0E528"/>
        </w:pBdr>
      </w:pPr>
      <w:r>
        <w:rPr>
          <w:rFonts w:ascii="Georgia" w:hAnsi="Georgia"/>
          <w:b/>
          <w:color w:val="0056B4"/>
          <w:sz w:val="26"/>
        </w:rPr>
        <w:t>1. Objetivo del puesto</w:t>
      </w:r>
    </w:p>
    <w:p>
      <w:pPr>
        <w:spacing w:after="120"/>
      </w:pPr>
      <w:r>
        <w:rPr>
          <w:rFonts w:ascii="Calibri" w:hAnsi="Calibri"/>
          <w:color w:val="1C242E"/>
          <w:sz w:val="21"/>
        </w:rPr>
        <w:t>Garantizar la continuidad y el desempeño de los sistemas fotovoltaicos, coordinando los mantenimientos preventivos y correctivos y gestionando las garantías con cierre documentado.</w:t>
      </w:r>
    </w:p>
    <w:p>
      <w:pPr>
        <w:keepNext/>
        <w:spacing w:before="280" w:after="80"/>
        <w:pBdr>
          <w:bottom w:val="single" w:sz="8" w:color="F0E528"/>
        </w:pBdr>
      </w:pPr>
      <w:r>
        <w:rPr>
          <w:rFonts w:ascii="Georgia" w:hAnsi="Georgia"/>
          <w:b/>
          <w:color w:val="0056B4"/>
          <w:sz w:val="26"/>
        </w:rPr>
        <w:t>2. Áreas de efectividad</w:t>
      </w:r>
    </w:p>
    <w:p>
      <w:pPr>
        <w:spacing w:after="120"/>
      </w:pPr>
      <w:r>
        <w:rPr>
          <w:rFonts w:ascii="Calibri" w:hAnsi="Calibri"/>
          <w:color w:val="1C242E"/>
          <w:sz w:val="21"/>
        </w:rPr>
        <w:t>El puesto responde por cuatro áreas de efectividad. El perfil fuente no asigna un peso porcentual a cada área.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2593"/>
            <w:shd w:val="clear" w:fill="0056B4"/>
          </w:tcPr>
          <w:p>
            <w:pPr>
              <w:jc w:val="center"/>
            </w:pPr>
            <w:r/>
            <w:r>
              <w:rPr>
                <w:rFonts w:ascii="Calibri" w:hAnsi="Calibri"/>
                <w:b/>
                <w:color w:val="FFFFFF"/>
                <w:sz w:val="17"/>
              </w:rPr>
              <w:t>Área de efectividad</w:t>
            </w:r>
          </w:p>
        </w:tc>
        <w:tc>
          <w:tcPr>
            <w:tcW w:type="dxa" w:w="1197"/>
            <w:shd w:val="clear" w:fill="0056B4"/>
          </w:tcPr>
          <w:p>
            <w:pPr>
              <w:jc w:val="center"/>
            </w:pPr>
            <w:r/>
            <w:r>
              <w:rPr>
                <w:rFonts w:ascii="Calibri" w:hAnsi="Calibri"/>
                <w:b/>
                <w:color w:val="FFFFFF"/>
                <w:sz w:val="17"/>
              </w:rPr>
              <w:t>Peso</w:t>
            </w:r>
          </w:p>
        </w:tc>
        <w:tc>
          <w:tcPr>
            <w:tcW w:type="dxa" w:w="6183"/>
            <w:shd w:val="clear" w:fill="0056B4"/>
          </w:tcPr>
          <w:p>
            <w:pPr>
              <w:jc w:val="center"/>
            </w:pPr>
            <w:r/>
            <w:r>
              <w:rPr>
                <w:rFonts w:ascii="Calibri" w:hAnsi="Calibri"/>
                <w:b/>
                <w:color w:val="FFFFFF"/>
                <w:sz w:val="17"/>
              </w:rPr>
              <w:t>Descripción y entregables</w:t>
            </w:r>
          </w:p>
        </w:tc>
      </w:tr>
      <w:tr>
        <w:tc>
          <w:tcPr>
            <w:tcW w:type="dxa" w:w="2593"/>
          </w:tcPr>
          <w:p>
            <w:r/>
            <w:r>
              <w:rPr>
                <w:rFonts w:ascii="Calibri" w:hAnsi="Calibri"/>
                <w:b w:val="0"/>
                <w:sz w:val="19"/>
              </w:rPr>
              <w:t>Planificación y programación O&amp;M</w:t>
            </w:r>
          </w:p>
        </w:tc>
        <w:tc>
          <w:tcPr>
            <w:tcW w:type="dxa" w:w="1197"/>
          </w:tcPr>
          <w:p>
            <w:r/>
            <w:r>
              <w:rPr>
                <w:rFonts w:ascii="Calibri" w:hAnsi="Calibri"/>
                <w:b w:val="0"/>
                <w:sz w:val="19"/>
              </w:rPr>
              <w:t>[Por validar]</w:t>
            </w:r>
          </w:p>
        </w:tc>
        <w:tc>
          <w:tcPr>
            <w:tcW w:type="dxa" w:w="6183"/>
          </w:tcPr>
          <w:p>
            <w:r/>
            <w:r>
              <w:rPr>
                <w:rFonts w:ascii="Calibri" w:hAnsi="Calibri"/>
                <w:b w:val="0"/>
                <w:sz w:val="19"/>
              </w:rPr>
              <w:t>Elaborar el plan mensual de preventivos por criticidad y base instalada, calendarizar recursos y confirmar la ventana con el cliente en Trello/CRM, asegurar las refacciones vía requisiciones con Almacén y publicar el plan semanal al equipo técnico. Medición: cumplimiento de agenda, puntualidad y porcentaje de reprogramaciones. Entregables: plan mensual, agenda semanal y órdenes de servicio calendarizadas.</w:t>
            </w:r>
          </w:p>
        </w:tc>
      </w:tr>
      <w:tr>
        <w:tc>
          <w:tcPr>
            <w:tcW w:type="dxa" w:w="2593"/>
          </w:tcPr>
          <w:p>
            <w:r/>
            <w:r>
              <w:rPr>
                <w:rFonts w:ascii="Calibri" w:hAnsi="Calibri"/>
                <w:b w:val="0"/>
                <w:sz w:val="19"/>
              </w:rPr>
              <w:t>Diagnóstico y supervisión técnica en campo</w:t>
            </w:r>
          </w:p>
        </w:tc>
        <w:tc>
          <w:tcPr>
            <w:tcW w:type="dxa" w:w="1197"/>
          </w:tcPr>
          <w:p>
            <w:r/>
            <w:r>
              <w:rPr>
                <w:rFonts w:ascii="Calibri" w:hAnsi="Calibri"/>
                <w:b w:val="0"/>
                <w:sz w:val="19"/>
              </w:rPr>
              <w:t>[Por validar]</w:t>
            </w:r>
          </w:p>
        </w:tc>
        <w:tc>
          <w:tcPr>
            <w:tcW w:type="dxa" w:w="6183"/>
          </w:tcPr>
          <w:p>
            <w:r/>
            <w:r>
              <w:rPr>
                <w:rFonts w:ascii="Calibri" w:hAnsi="Calibri"/>
                <w:b w:val="0"/>
                <w:sz w:val="19"/>
              </w:rPr>
              <w:t>Validar el diagnóstico (inversor, protecciones, módem, voltaje, limpieza), supervisar la ejecución segura y resolver los bloqueos técnicos, verificar el restablecimiento y coordinar el encendido cuando aplique, y asegurar la evidencia antes y después con checklist de cierre. Medición: tiempo de respuesta, first-time-fix y reincidencias. Entregables: reporte de diagnóstico y reporte de cierre.</w:t>
            </w:r>
          </w:p>
        </w:tc>
      </w:tr>
      <w:tr>
        <w:tc>
          <w:tcPr>
            <w:tcW w:type="dxa" w:w="2593"/>
          </w:tcPr>
          <w:p>
            <w:r/>
            <w:r>
              <w:rPr>
                <w:rFonts w:ascii="Calibri" w:hAnsi="Calibri"/>
                <w:b w:val="0"/>
                <w:sz w:val="19"/>
              </w:rPr>
              <w:t>Gestión de garantías y servicio al cliente postventa</w:t>
            </w:r>
          </w:p>
        </w:tc>
        <w:tc>
          <w:tcPr>
            <w:tcW w:type="dxa" w:w="1197"/>
          </w:tcPr>
          <w:p>
            <w:r/>
            <w:r>
              <w:rPr>
                <w:rFonts w:ascii="Calibri" w:hAnsi="Calibri"/>
                <w:b w:val="0"/>
                <w:sz w:val="19"/>
              </w:rPr>
              <w:t>[Por validar]</w:t>
            </w:r>
          </w:p>
        </w:tc>
        <w:tc>
          <w:tcPr>
            <w:tcW w:type="dxa" w:w="6183"/>
          </w:tcPr>
          <w:p>
            <w:r/>
            <w:r>
              <w:rPr>
                <w:rFonts w:ascii="Calibri" w:hAnsi="Calibri"/>
                <w:b w:val="0"/>
                <w:sz w:val="19"/>
              </w:rPr>
              <w:t>Definir si aplica garantía o servicio con costo comunicando los límites con evidencia, emitir la OS $0 cuando aplique garantía y programar la atención, elaborar la cotización y canalizar a ventas cuando no aplique, y mantener el contacto con el cliente hasta el cierre. Medición: porcentaje de OS de garantía o costo atendidas en tiempo y satisfacción. Entregables: OS $0, cotizaciones y cronograma de servicios.</w:t>
            </w:r>
          </w:p>
        </w:tc>
      </w:tr>
      <w:tr>
        <w:tc>
          <w:tcPr>
            <w:tcW w:type="dxa" w:w="2593"/>
          </w:tcPr>
          <w:p>
            <w:r/>
            <w:r>
              <w:rPr>
                <w:rFonts w:ascii="Calibri" w:hAnsi="Calibri"/>
                <w:b w:val="0"/>
                <w:sz w:val="19"/>
              </w:rPr>
              <w:t>Calidad, seguridad y documentación</w:t>
            </w:r>
          </w:p>
        </w:tc>
        <w:tc>
          <w:tcPr>
            <w:tcW w:type="dxa" w:w="1197"/>
          </w:tcPr>
          <w:p>
            <w:r/>
            <w:r>
              <w:rPr>
                <w:rFonts w:ascii="Calibri" w:hAnsi="Calibri"/>
                <w:b w:val="0"/>
                <w:sz w:val="19"/>
              </w:rPr>
              <w:t>[Por validar]</w:t>
            </w:r>
          </w:p>
        </w:tc>
        <w:tc>
          <w:tcPr>
            <w:tcW w:type="dxa" w:w="6183"/>
          </w:tcPr>
          <w:p>
            <w:r/>
            <w:r>
              <w:rPr>
                <w:rFonts w:ascii="Calibri" w:hAnsi="Calibri"/>
                <w:b w:val="0"/>
                <w:sz w:val="19"/>
              </w:rPr>
              <w:t>Usar checklists y bitácoras resguardando la evidencia en Trello/CRM, verificar las cargas oportunas de evidencia y de NPS cuando aplique, monitorear el SLA y las reincidencias proponiendo mejoras, coordinarse con Postventa y con Garantías/Encendidos para los cierres, y emitir el reporte mensual de calidad y HSE a Gerencia. Medición: integridad de checklist y evidencias e incidentes. Entregables: checklists, bitácoras y reporte mensual de calidad/HSE.</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Pesos por validar. El perfil fuente no asigna peso porcentual a las áreas de efectividad; su ponderación queda por definir con la Dirección.</w:t>
            </w:r>
          </w:p>
        </w:tc>
      </w:tr>
    </w:tbl>
    <w:p>
      <w:pPr>
        <w:spacing w:after="40"/>
      </w:pPr>
    </w:p>
    <w:p>
      <w:pPr>
        <w:keepNext/>
        <w:spacing w:before="280" w:after="80"/>
        <w:pBdr>
          <w:bottom w:val="single" w:sz="8" w:color="F0E528"/>
        </w:pBdr>
      </w:pPr>
      <w:r>
        <w:rPr>
          <w:rFonts w:ascii="Georgia" w:hAnsi="Georgia"/>
          <w:b/>
          <w:color w:val="0056B4"/>
          <w:sz w:val="26"/>
        </w:rPr>
        <w:t>3. Responsabilidades del SGC del puesto</w:t>
      </w:r>
    </w:p>
    <w:p>
      <w:pPr>
        <w:spacing w:after="120"/>
      </w:pPr>
      <w:r>
        <w:rPr>
          <w:rFonts w:ascii="Calibri" w:hAnsi="Calibri"/>
          <w:color w:val="1C242E"/>
          <w:sz w:val="21"/>
        </w:rPr>
        <w:t>Además de sus funciones técnicas, el puesto asume las responsabilidades del Sistema de Gestión de Calidad asociadas al proceso de mantenimiento y postventa (ISO 9001:2015, cláusula 7.2).</w:t>
      </w:r>
    </w:p>
    <w:p>
      <w:pPr>
        <w:pStyle w:val="ListBullet"/>
      </w:pPr>
      <w:r>
        <w:rPr>
          <w:rFonts w:ascii="Calibri" w:hAnsi="Calibri"/>
          <w:sz w:val="20"/>
        </w:rPr>
        <w:t>Seguir los procedimientos aplicables del proceso de mantenimiento y postventa y los documentos del SGC vigentes en cada servicio.</w:t>
      </w:r>
    </w:p>
    <w:p>
      <w:pPr>
        <w:pStyle w:val="ListBullet"/>
      </w:pPr>
      <w:r>
        <w:rPr>
          <w:rFonts w:ascii="Calibri" w:hAnsi="Calibri"/>
          <w:sz w:val="20"/>
        </w:rPr>
        <w:t>Asegurar la ejecución conforme de cada mantenimiento preventivo y correctivo, con salida segura y el desempeño del sistema fotovoltaico restablecido y verificado.</w:t>
      </w:r>
    </w:p>
    <w:p>
      <w:pPr>
        <w:pStyle w:val="ListBullet"/>
      </w:pPr>
      <w:r>
        <w:rPr>
          <w:rFonts w:ascii="Calibri" w:hAnsi="Calibri"/>
          <w:sz w:val="20"/>
        </w:rPr>
        <w:t>Generar y resguardar los registros y formatos de su área (plan mensual, órdenes de servicio, checklists de cierre, bitácoras y reporte mensual de calidad/HSE), con la evidencia cargada en Trello/CRM.</w:t>
      </w:r>
    </w:p>
    <w:p>
      <w:pPr>
        <w:pStyle w:val="ListBullet"/>
      </w:pPr>
      <w:r>
        <w:rPr>
          <w:rFonts w:ascii="Calibri" w:hAnsi="Calibri"/>
          <w:sz w:val="20"/>
        </w:rPr>
        <w:t>Gestionar las garantías con cierre documentado: emitir la OS $0 cuando aplique, elaborar la cotización cuando no aplique y conservar la evidencia del cierre con el cliente.</w:t>
      </w:r>
    </w:p>
    <w:p>
      <w:pPr>
        <w:pStyle w:val="ListBullet"/>
      </w:pPr>
      <w:r>
        <w:rPr>
          <w:rFonts w:ascii="Calibri" w:hAnsi="Calibri"/>
          <w:sz w:val="20"/>
        </w:rPr>
        <w:t>Reportar y atender las no conformidades, las reincidencias y los hallazgos detectados en campo, y escalar a Gerencia las decisiones comerciales o técnicas que excedan su alcance.</w:t>
      </w:r>
    </w:p>
    <w:p>
      <w:pPr>
        <w:pStyle w:val="ListBullet"/>
      </w:pPr>
      <w:r>
        <w:rPr>
          <w:rFonts w:ascii="Calibri" w:hAnsi="Calibri"/>
          <w:sz w:val="20"/>
        </w:rPr>
        <w:t>Controlar la seguridad en obra y las condiciones de trabajo en campo antes, durante y al cierre de cada servicio.</w:t>
      </w:r>
    </w:p>
    <w:p>
      <w:pPr>
        <w:pStyle w:val="ListBullet"/>
      </w:pPr>
      <w:r>
        <w:rPr>
          <w:rFonts w:ascii="Calibri" w:hAnsi="Calibri"/>
          <w:sz w:val="20"/>
        </w:rPr>
        <w:t>Cumplir la política de calidad y contribuir al logro de los objetivos de calidad del proceso de mantenimiento y postventa.</w:t>
      </w:r>
    </w:p>
    <w:p>
      <w:pPr>
        <w:pStyle w:val="ListBullet"/>
      </w:pPr>
      <w:r>
        <w:rPr>
          <w:rFonts w:ascii="Calibri" w:hAnsi="Calibri"/>
          <w:sz w:val="20"/>
        </w:rPr>
        <w:t>Participar en las auditorías internas y externas del SGC y en las acciones de mejora de su área.</w:t>
      </w:r>
    </w:p>
    <w:p>
      <w:pPr>
        <w:pStyle w:val="ListBullet"/>
      </w:pPr>
      <w:r>
        <w:rPr>
          <w:rFonts w:ascii="Calibri" w:hAnsi="Calibri"/>
          <w:sz w:val="20"/>
        </w:rPr>
        <w:t>Mantener la trazabilidad del estado de cada servicio en Trello/CRM como fuente única de evidencia documental.</w:t>
      </w:r>
    </w:p>
    <w:p>
      <w:pPr>
        <w:keepNext/>
        <w:spacing w:before="200" w:after="60"/>
      </w:pPr>
      <w:r>
        <w:rPr>
          <w:rFonts w:ascii="Georgia" w:hAnsi="Georgia"/>
          <w:b/>
          <w:color w:val="1C242E"/>
          <w:sz w:val="22"/>
        </w:rPr>
        <w:t>Límites de autoridad del puesto</w:t>
      </w:r>
    </w:p>
    <w:p>
      <w:pPr>
        <w:spacing w:after="120"/>
      </w:pPr>
      <w:r>
        <w:rPr>
          <w:rFonts w:ascii="Calibri" w:hAnsi="Calibri"/>
          <w:color w:val="1C242E"/>
          <w:sz w:val="21"/>
        </w:rPr>
        <w:t>Restricciones de decisión del puesto conforme al perfil fuente (ISO 9001:2015, cláusula 5.3, autoridades).</w:t>
      </w:r>
    </w:p>
    <w:p>
      <w:pPr>
        <w:pStyle w:val="ListBullet"/>
      </w:pPr>
      <w:r>
        <w:rPr>
          <w:rFonts w:ascii="Calibri" w:hAnsi="Calibri"/>
          <w:sz w:val="20"/>
        </w:rPr>
        <w:t>No modificar el alcance ni los costos del servicio sin el visto bueno de Gerencia.</w:t>
      </w:r>
    </w:p>
    <w:p>
      <w:pPr>
        <w:pStyle w:val="ListBullet"/>
      </w:pPr>
      <w:r>
        <w:rPr>
          <w:rFonts w:ascii="Calibri" w:hAnsi="Calibri"/>
          <w:sz w:val="20"/>
        </w:rPr>
        <w:t>No autorizar compras de refacciones fuera del stock disponible; canalizar las requisiciones a Almacén.</w:t>
      </w:r>
    </w:p>
    <w:p>
      <w:pPr>
        <w:pStyle w:val="ListBullet"/>
      </w:pPr>
      <w:r>
        <w:rPr>
          <w:rFonts w:ascii="Calibri" w:hAnsi="Calibri"/>
          <w:sz w:val="20"/>
        </w:rPr>
        <w:t>No gestionar interconexiones ni trámites UVIE nuevos; corresponden a Ingeniería.</w:t>
      </w:r>
    </w:p>
    <w:p>
      <w:pPr>
        <w:pStyle w:val="ListBullet"/>
      </w:pPr>
      <w:r>
        <w:rPr>
          <w:rFonts w:ascii="Calibri" w:hAnsi="Calibri"/>
          <w:sz w:val="20"/>
        </w:rPr>
        <w:t>No ofrecer cortesías ni descuentos al cliente; escalar a Gerencia las decisiones comerciales.</w:t>
      </w:r>
    </w:p>
    <w:p>
      <w:pPr>
        <w:pStyle w:val="ListBullet"/>
      </w:pPr>
      <w:r>
        <w:rPr>
          <w:rFonts w:ascii="Calibri" w:hAnsi="Calibri"/>
          <w:sz w:val="20"/>
        </w:rPr>
        <w:t>No cambiar los formatos ni los documentos controlados del SGC; los cambios se solicitan al control documental.</w:t>
      </w:r>
    </w:p>
    <w:p>
      <w:pPr>
        <w:keepNext/>
        <w:spacing w:before="280" w:after="80"/>
        <w:pBdr>
          <w:bottom w:val="single" w:sz="8" w:color="F0E528"/>
        </w:pBdr>
      </w:pPr>
      <w:r>
        <w:rPr>
          <w:rFonts w:ascii="Georgia" w:hAnsi="Georgia"/>
          <w:b/>
          <w:color w:val="0056B4"/>
          <w:sz w:val="26"/>
        </w:rPr>
        <w:t>4. Competencias</w:t>
      </w:r>
    </w:p>
    <w:p>
      <w:pPr>
        <w:keepNext/>
        <w:spacing w:before="200" w:after="60"/>
      </w:pPr>
      <w:r>
        <w:rPr>
          <w:rFonts w:ascii="Georgia" w:hAnsi="Georgia"/>
          <w:b/>
          <w:color w:val="1C242E"/>
          <w:sz w:val="22"/>
        </w:rPr>
        <w:t>Competencias técnicas</w:t>
      </w:r>
    </w:p>
    <w:p>
      <w:pPr>
        <w:spacing w:after="120"/>
      </w:pPr>
      <w:r>
        <w:rPr>
          <w:rFonts w:ascii="Calibri" w:hAnsi="Calibri"/>
          <w:color w:val="1C242E"/>
          <w:sz w:val="21"/>
        </w:rPr>
        <w:t>Conocimientos técnicos del puesto según el perfil fuente. El perfil fuente enumera los conocimientos sin asignar un nivel de dominio, por lo que el nivel requerido queda por validar con la Dirección.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7180"/>
            <w:shd w:val="clear" w:fill="0056B4"/>
          </w:tcPr>
          <w:p>
            <w:pPr>
              <w:jc w:val="center"/>
            </w:pPr>
            <w:r/>
            <w:r>
              <w:rPr>
                <w:rFonts w:ascii="Calibri" w:hAnsi="Calibri"/>
                <w:b/>
                <w:color w:val="FFFFFF"/>
                <w:sz w:val="17"/>
              </w:rPr>
              <w:t>Competencia técnica</w:t>
            </w:r>
          </w:p>
        </w:tc>
        <w:tc>
          <w:tcPr>
            <w:tcW w:type="dxa" w:w="2792"/>
            <w:shd w:val="clear" w:fill="0056B4"/>
          </w:tcPr>
          <w:p>
            <w:pPr>
              <w:jc w:val="center"/>
            </w:pPr>
            <w:r/>
            <w:r>
              <w:rPr>
                <w:rFonts w:ascii="Calibri" w:hAnsi="Calibri"/>
                <w:b/>
                <w:color w:val="FFFFFF"/>
                <w:sz w:val="17"/>
              </w:rPr>
              <w:t>Nivel requerido</w:t>
            </w:r>
          </w:p>
        </w:tc>
      </w:tr>
      <w:tr>
        <w:tc>
          <w:tcPr>
            <w:tcW w:type="dxa" w:w="7180"/>
          </w:tcPr>
          <w:p>
            <w:r/>
            <w:r>
              <w:rPr>
                <w:rFonts w:ascii="Calibri" w:hAnsi="Calibri"/>
                <w:b w:val="0"/>
                <w:sz w:val="19"/>
              </w:rPr>
              <w:t>Programación de mantenimiento y gestión de tickets</w:t>
            </w:r>
          </w:p>
        </w:tc>
        <w:tc>
          <w:tcPr>
            <w:tcW w:type="dxa" w:w="2792"/>
          </w:tcPr>
          <w:p>
            <w:r/>
            <w:r>
              <w:rPr>
                <w:rFonts w:ascii="Calibri" w:hAnsi="Calibri"/>
                <w:b w:val="0"/>
                <w:sz w:val="19"/>
              </w:rPr>
              <w:t>[Por validar]</w:t>
            </w:r>
          </w:p>
        </w:tc>
      </w:tr>
      <w:tr>
        <w:tc>
          <w:tcPr>
            <w:tcW w:type="dxa" w:w="7180"/>
          </w:tcPr>
          <w:p>
            <w:r/>
            <w:r>
              <w:rPr>
                <w:rFonts w:ascii="Calibri" w:hAnsi="Calibri"/>
                <w:b w:val="0"/>
                <w:sz w:val="19"/>
              </w:rPr>
              <w:t>Planeación de recursos (rutas, cuadrillas y OS)</w:t>
            </w:r>
          </w:p>
        </w:tc>
        <w:tc>
          <w:tcPr>
            <w:tcW w:type="dxa" w:w="2792"/>
          </w:tcPr>
          <w:p>
            <w:r/>
            <w:r>
              <w:rPr>
                <w:rFonts w:ascii="Calibri" w:hAnsi="Calibri"/>
                <w:b w:val="0"/>
                <w:sz w:val="19"/>
              </w:rPr>
              <w:t>[Por validar]</w:t>
            </w:r>
          </w:p>
        </w:tc>
      </w:tr>
      <w:tr>
        <w:tc>
          <w:tcPr>
            <w:tcW w:type="dxa" w:w="7180"/>
          </w:tcPr>
          <w:p>
            <w:r/>
            <w:r>
              <w:rPr>
                <w:rFonts w:ascii="Calibri" w:hAnsi="Calibri"/>
                <w:b w:val="0"/>
                <w:sz w:val="19"/>
              </w:rPr>
              <w:t>Diagnóstico de fallas en inversores y protecciones AC/DC</w:t>
            </w:r>
          </w:p>
        </w:tc>
        <w:tc>
          <w:tcPr>
            <w:tcW w:type="dxa" w:w="2792"/>
          </w:tcPr>
          <w:p>
            <w:r/>
            <w:r>
              <w:rPr>
                <w:rFonts w:ascii="Calibri" w:hAnsi="Calibri"/>
                <w:b w:val="0"/>
                <w:sz w:val="19"/>
              </w:rPr>
              <w:t>[Por validar]</w:t>
            </w:r>
          </w:p>
        </w:tc>
      </w:tr>
      <w:tr>
        <w:tc>
          <w:tcPr>
            <w:tcW w:type="dxa" w:w="7180"/>
          </w:tcPr>
          <w:p>
            <w:r/>
            <w:r>
              <w:rPr>
                <w:rFonts w:ascii="Calibri" w:hAnsi="Calibri"/>
                <w:b w:val="0"/>
                <w:sz w:val="19"/>
              </w:rPr>
              <w:t>Uso de multímetro, pinza amperimétrica y apps de fabricantes</w:t>
            </w:r>
          </w:p>
        </w:tc>
        <w:tc>
          <w:tcPr>
            <w:tcW w:type="dxa" w:w="2792"/>
          </w:tcPr>
          <w:p>
            <w:r/>
            <w:r>
              <w:rPr>
                <w:rFonts w:ascii="Calibri" w:hAnsi="Calibri"/>
                <w:b w:val="0"/>
                <w:sz w:val="19"/>
              </w:rPr>
              <w:t>[Por validar]</w:t>
            </w:r>
          </w:p>
        </w:tc>
      </w:tr>
      <w:tr>
        <w:tc>
          <w:tcPr>
            <w:tcW w:type="dxa" w:w="7180"/>
          </w:tcPr>
          <w:p>
            <w:r/>
            <w:r>
              <w:rPr>
                <w:rFonts w:ascii="Calibri" w:hAnsi="Calibri"/>
                <w:b w:val="0"/>
                <w:sz w:val="19"/>
              </w:rPr>
              <w:t>Políticas de garantía, flujo de OS y cotización</w:t>
            </w:r>
          </w:p>
        </w:tc>
        <w:tc>
          <w:tcPr>
            <w:tcW w:type="dxa" w:w="2792"/>
          </w:tcPr>
          <w:p>
            <w:r/>
            <w:r>
              <w:rPr>
                <w:rFonts w:ascii="Calibri" w:hAnsi="Calibri"/>
                <w:b w:val="0"/>
                <w:sz w:val="19"/>
              </w:rPr>
              <w:t>[Por validar]</w:t>
            </w:r>
          </w:p>
        </w:tc>
      </w:tr>
      <w:tr>
        <w:tc>
          <w:tcPr>
            <w:tcW w:type="dxa" w:w="7180"/>
          </w:tcPr>
          <w:p>
            <w:r/>
            <w:r>
              <w:rPr>
                <w:rFonts w:ascii="Calibri" w:hAnsi="Calibri"/>
                <w:b w:val="0"/>
                <w:sz w:val="19"/>
              </w:rPr>
              <w:t>Gestión documental, trazabilidad y seguridad eléctrica en campo</w:t>
            </w:r>
          </w:p>
        </w:tc>
        <w:tc>
          <w:tcPr>
            <w:tcW w:type="dxa" w:w="2792"/>
          </w:tcPr>
          <w:p>
            <w:r/>
            <w:r>
              <w:rPr>
                <w:rFonts w:ascii="Calibri" w:hAnsi="Calibri"/>
                <w:b w:val="0"/>
                <w:sz w:val="19"/>
              </w:rPr>
              <w:t>[Por validar]</w:t>
            </w:r>
          </w:p>
        </w:tc>
      </w:tr>
    </w:tbl>
    <w:p>
      <w:pPr>
        <w:keepNext/>
        <w:spacing w:before="200" w:after="60"/>
      </w:pPr>
      <w:r>
        <w:rPr>
          <w:rFonts w:ascii="Georgia" w:hAnsi="Georgia"/>
          <w:b/>
          <w:color w:val="1C242E"/>
          <w:sz w:val="22"/>
        </w:rPr>
        <w:t>Competencias blandas</w:t>
      </w:r>
    </w:p>
    <w:p>
      <w:pPr>
        <w:spacing w:after="120"/>
      </w:pPr>
      <w:r>
        <w:rPr>
          <w:rFonts w:ascii="Calibri" w:hAnsi="Calibri"/>
          <w:color w:val="1C242E"/>
          <w:sz w:val="21"/>
        </w:rPr>
        <w:t>Competencias blandas del catálogo canónico, conforme al perfil fuente.</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3390"/>
            <w:shd w:val="clear" w:fill="0056B4"/>
          </w:tcPr>
          <w:p>
            <w:pPr>
              <w:jc w:val="center"/>
            </w:pPr>
            <w:r/>
            <w:r>
              <w:rPr>
                <w:rFonts w:ascii="Calibri" w:hAnsi="Calibri"/>
                <w:b/>
                <w:color w:val="FFFFFF"/>
                <w:sz w:val="17"/>
              </w:rPr>
              <w:t>Competencia blanda</w:t>
            </w:r>
          </w:p>
        </w:tc>
        <w:tc>
          <w:tcPr>
            <w:tcW w:type="dxa" w:w="6582"/>
            <w:shd w:val="clear" w:fill="0056B4"/>
          </w:tcPr>
          <w:p>
            <w:pPr>
              <w:jc w:val="center"/>
            </w:pPr>
            <w:r/>
            <w:r>
              <w:rPr>
                <w:rFonts w:ascii="Calibri" w:hAnsi="Calibri"/>
                <w:b/>
                <w:color w:val="FFFFFF"/>
                <w:sz w:val="17"/>
              </w:rPr>
              <w:t>Descripción</w:t>
            </w:r>
          </w:p>
        </w:tc>
      </w:tr>
      <w:tr>
        <w:tc>
          <w:tcPr>
            <w:tcW w:type="dxa" w:w="3390"/>
          </w:tcPr>
          <w:p>
            <w:r/>
            <w:r>
              <w:rPr>
                <w:rFonts w:ascii="Calibri" w:hAnsi="Calibri"/>
                <w:b w:val="0"/>
                <w:sz w:val="19"/>
              </w:rPr>
              <w:t>Organización del Trabajo</w:t>
            </w:r>
          </w:p>
        </w:tc>
        <w:tc>
          <w:tcPr>
            <w:tcW w:type="dxa" w:w="6582"/>
          </w:tcPr>
          <w:p>
            <w:r/>
            <w:r>
              <w:rPr>
                <w:rFonts w:ascii="Calibri" w:hAnsi="Calibri"/>
                <w:b w:val="0"/>
                <w:sz w:val="19"/>
              </w:rPr>
              <w:t>Estructura la información con formatos y cronogramas.</w:t>
            </w:r>
          </w:p>
        </w:tc>
      </w:tr>
      <w:tr>
        <w:tc>
          <w:tcPr>
            <w:tcW w:type="dxa" w:w="3390"/>
          </w:tcPr>
          <w:p>
            <w:r/>
            <w:r>
              <w:rPr>
                <w:rFonts w:ascii="Calibri" w:hAnsi="Calibri"/>
                <w:b w:val="0"/>
                <w:sz w:val="19"/>
              </w:rPr>
              <w:t>Planificación y Organización</w:t>
            </w:r>
          </w:p>
        </w:tc>
        <w:tc>
          <w:tcPr>
            <w:tcW w:type="dxa" w:w="6582"/>
          </w:tcPr>
          <w:p>
            <w:r/>
            <w:r>
              <w:rPr>
                <w:rFonts w:ascii="Calibri" w:hAnsi="Calibri"/>
                <w:b w:val="0"/>
                <w:sz w:val="19"/>
              </w:rPr>
              <w:t>Distribuye los recursos en tiempo y prioridad.</w:t>
            </w:r>
          </w:p>
        </w:tc>
      </w:tr>
      <w:tr>
        <w:tc>
          <w:tcPr>
            <w:tcW w:type="dxa" w:w="3390"/>
          </w:tcPr>
          <w:p>
            <w:r/>
            <w:r>
              <w:rPr>
                <w:rFonts w:ascii="Calibri" w:hAnsi="Calibri"/>
                <w:b w:val="0"/>
                <w:sz w:val="19"/>
              </w:rPr>
              <w:t>Orientación a la Calidad</w:t>
            </w:r>
          </w:p>
        </w:tc>
        <w:tc>
          <w:tcPr>
            <w:tcW w:type="dxa" w:w="6582"/>
          </w:tcPr>
          <w:p>
            <w:r/>
            <w:r>
              <w:rPr>
                <w:rFonts w:ascii="Calibri" w:hAnsi="Calibri"/>
                <w:b w:val="0"/>
                <w:sz w:val="19"/>
              </w:rPr>
              <w:t>Cumple y hace cumplir los estándares documentados.</w:t>
            </w:r>
          </w:p>
        </w:tc>
      </w:tr>
      <w:tr>
        <w:tc>
          <w:tcPr>
            <w:tcW w:type="dxa" w:w="3390"/>
          </w:tcPr>
          <w:p>
            <w:r/>
            <w:r>
              <w:rPr>
                <w:rFonts w:ascii="Calibri" w:hAnsi="Calibri"/>
                <w:b w:val="0"/>
                <w:sz w:val="19"/>
              </w:rPr>
              <w:t>Orientación al Servicio</w:t>
            </w:r>
          </w:p>
        </w:tc>
        <w:tc>
          <w:tcPr>
            <w:tcW w:type="dxa" w:w="6582"/>
          </w:tcPr>
          <w:p>
            <w:r/>
            <w:r>
              <w:rPr>
                <w:rFonts w:ascii="Calibri" w:hAnsi="Calibri"/>
                <w:b w:val="0"/>
                <w:sz w:val="19"/>
              </w:rPr>
              <w:t>Traduce las necesidades del cliente en acciones efectivas.</w:t>
            </w:r>
          </w:p>
        </w:tc>
      </w:tr>
      <w:tr>
        <w:tc>
          <w:tcPr>
            <w:tcW w:type="dxa" w:w="3390"/>
          </w:tcPr>
          <w:p>
            <w:r/>
            <w:r>
              <w:rPr>
                <w:rFonts w:ascii="Calibri" w:hAnsi="Calibri"/>
                <w:b w:val="0"/>
                <w:sz w:val="19"/>
              </w:rPr>
              <w:t>Toma de Decisiones</w:t>
            </w:r>
          </w:p>
        </w:tc>
        <w:tc>
          <w:tcPr>
            <w:tcW w:type="dxa" w:w="6582"/>
          </w:tcPr>
          <w:p>
            <w:r/>
            <w:r>
              <w:rPr>
                <w:rFonts w:ascii="Calibri" w:hAnsi="Calibri"/>
                <w:b w:val="0"/>
                <w:sz w:val="19"/>
              </w:rPr>
              <w:t>Decide con base en el análisis y las políticas.</w:t>
            </w:r>
          </w:p>
        </w:tc>
      </w:tr>
      <w:tr>
        <w:tc>
          <w:tcPr>
            <w:tcW w:type="dxa" w:w="3390"/>
          </w:tcPr>
          <w:p>
            <w:r/>
            <w:r>
              <w:rPr>
                <w:rFonts w:ascii="Calibri" w:hAnsi="Calibri"/>
                <w:b w:val="0"/>
                <w:sz w:val="19"/>
              </w:rPr>
              <w:t>Pulcritud</w:t>
            </w:r>
          </w:p>
        </w:tc>
        <w:tc>
          <w:tcPr>
            <w:tcW w:type="dxa" w:w="6582"/>
          </w:tcPr>
          <w:p>
            <w:r/>
            <w:r>
              <w:rPr>
                <w:rFonts w:ascii="Calibri" w:hAnsi="Calibri"/>
                <w:b w:val="0"/>
                <w:sz w:val="19"/>
              </w:rPr>
              <w:t>Mantiene el orden, la limpieza y el resguardo de los documentos.</w:t>
            </w:r>
          </w:p>
        </w:tc>
      </w:tr>
    </w:tbl>
    <w:p>
      <w:pPr>
        <w:keepNext/>
        <w:spacing w:before="280" w:after="80"/>
        <w:pBdr>
          <w:bottom w:val="single" w:sz="8" w:color="F0E528"/>
        </w:pBdr>
      </w:pPr>
      <w:r>
        <w:rPr>
          <w:rFonts w:ascii="Georgia" w:hAnsi="Georgia"/>
          <w:b/>
          <w:color w:val="0056B4"/>
          <w:sz w:val="26"/>
        </w:rPr>
        <w:t>5. Requisitos del puesto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393"/>
            <w:shd w:val="clear" w:fill="0056B4"/>
          </w:tcPr>
          <w:p>
            <w:pPr>
              <w:jc w:val="center"/>
            </w:pPr>
            <w:r/>
            <w:r>
              <w:rPr>
                <w:rFonts w:ascii="Calibri" w:hAnsi="Calibri"/>
                <w:b/>
                <w:color w:val="FFFFFF"/>
                <w:sz w:val="17"/>
              </w:rPr>
              <w:t>Requisito</w:t>
            </w:r>
          </w:p>
        </w:tc>
        <w:tc>
          <w:tcPr>
            <w:tcW w:type="dxa" w:w="7579"/>
            <w:shd w:val="clear" w:fill="0056B4"/>
          </w:tcPr>
          <w:p>
            <w:pPr>
              <w:jc w:val="center"/>
            </w:pPr>
            <w:r/>
            <w:r>
              <w:rPr>
                <w:rFonts w:ascii="Calibri" w:hAnsi="Calibri"/>
                <w:b/>
                <w:color w:val="FFFFFF"/>
                <w:sz w:val="17"/>
              </w:rPr>
              <w:t>Detalle</w:t>
            </w:r>
          </w:p>
        </w:tc>
      </w:tr>
      <w:tr>
        <w:tc>
          <w:tcPr>
            <w:tcW w:type="dxa" w:w="2393"/>
          </w:tcPr>
          <w:p>
            <w:r/>
            <w:r>
              <w:rPr>
                <w:rFonts w:ascii="Calibri" w:hAnsi="Calibri"/>
                <w:b w:val="0"/>
                <w:sz w:val="19"/>
              </w:rPr>
              <w:t>Herramientas clave</w:t>
            </w:r>
          </w:p>
        </w:tc>
        <w:tc>
          <w:tcPr>
            <w:tcW w:type="dxa" w:w="7579"/>
          </w:tcPr>
          <w:p>
            <w:r/>
            <w:r>
              <w:rPr>
                <w:rFonts w:ascii="Calibri" w:hAnsi="Calibri"/>
                <w:b w:val="0"/>
                <w:sz w:val="19"/>
              </w:rPr>
              <w:t>Trello/CRM, apps de fabricantes de inversores, multímetro y pinza amperimétrica.</w:t>
            </w:r>
          </w:p>
        </w:tc>
      </w:tr>
      <w:tr>
        <w:tc>
          <w:tcPr>
            <w:tcW w:type="dxa" w:w="2393"/>
          </w:tcPr>
          <w:p>
            <w:r/>
            <w:r>
              <w:rPr>
                <w:rFonts w:ascii="Calibri" w:hAnsi="Calibri"/>
                <w:b w:val="0"/>
                <w:sz w:val="19"/>
              </w:rPr>
              <w:t>Modalidad</w:t>
            </w:r>
          </w:p>
        </w:tc>
        <w:tc>
          <w:tcPr>
            <w:tcW w:type="dxa" w:w="7579"/>
          </w:tcPr>
          <w:p>
            <w:r/>
            <w:r>
              <w:rPr>
                <w:rFonts w:ascii="Calibri" w:hAnsi="Calibri"/>
                <w:b w:val="0"/>
                <w:sz w:val="19"/>
              </w:rPr>
              <w:t>Presencial con visitas de servicio en sitio de clientes [por validar].</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Definir con la Dirección la formación académica, la experiencia mínima y las certificaciones obligatorias del puesto. Por la naturaleza del trabajo (labores eléctricas y en techo) procede validar la seguridad eléctrica, el trabajo en alturas y la constancia DC-3 de competencias. El perfil fuente no especifica estos requisitos.</w:t>
            </w:r>
          </w:p>
        </w:tc>
      </w:tr>
    </w:tbl>
    <w:p>
      <w:pPr>
        <w:spacing w:after="40"/>
      </w:pPr>
    </w:p>
    <w:p>
      <w:pPr>
        <w:keepNext/>
        <w:spacing w:before="280" w:after="80"/>
        <w:pBdr>
          <w:bottom w:val="single" w:sz="8" w:color="F0E528"/>
        </w:pBdr>
      </w:pPr>
      <w:r>
        <w:rPr>
          <w:rFonts w:ascii="Georgia" w:hAnsi="Georgia"/>
          <w:b/>
          <w:color w:val="0056B4"/>
          <w:sz w:val="26"/>
        </w:rPr>
        <w:t>6. Indicadores del puesto (KPIs)</w:t>
      </w:r>
    </w:p>
    <w:p>
      <w:pPr>
        <w:spacing w:after="120"/>
      </w:pPr>
      <w:r>
        <w:rPr>
          <w:rFonts w:ascii="Calibri" w:hAnsi="Calibri"/>
          <w:color w:val="1C242E"/>
          <w:sz w:val="21"/>
        </w:rPr>
        <w:t>Indicadores de desempeño del puesto derivados de sus métodos de medición. Las metas sin dato en el perfil fuente quedan por definir con la Dirección y se revisan en la evaluación de proceso del SGC.</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3989"/>
            <w:shd w:val="clear" w:fill="0056B4"/>
          </w:tcPr>
          <w:p>
            <w:pPr>
              <w:jc w:val="center"/>
            </w:pPr>
            <w:r/>
            <w:r>
              <w:rPr>
                <w:rFonts w:ascii="Calibri" w:hAnsi="Calibri"/>
                <w:b/>
                <w:color w:val="FFFFFF"/>
                <w:sz w:val="17"/>
              </w:rPr>
              <w:t>Indicador</w:t>
            </w:r>
          </w:p>
        </w:tc>
        <w:tc>
          <w:tcPr>
            <w:tcW w:type="dxa" w:w="1596"/>
            <w:shd w:val="clear" w:fill="0056B4"/>
          </w:tcPr>
          <w:p>
            <w:pPr>
              <w:jc w:val="center"/>
            </w:pPr>
            <w:r/>
            <w:r>
              <w:rPr>
                <w:rFonts w:ascii="Calibri" w:hAnsi="Calibri"/>
                <w:b/>
                <w:color w:val="FFFFFF"/>
                <w:sz w:val="17"/>
              </w:rPr>
              <w:t>Meta</w:t>
            </w:r>
          </w:p>
        </w:tc>
        <w:tc>
          <w:tcPr>
            <w:tcW w:type="dxa" w:w="1795"/>
            <w:shd w:val="clear" w:fill="0056B4"/>
          </w:tcPr>
          <w:p>
            <w:pPr>
              <w:jc w:val="center"/>
            </w:pPr>
            <w:r/>
            <w:r>
              <w:rPr>
                <w:rFonts w:ascii="Calibri" w:hAnsi="Calibri"/>
                <w:b/>
                <w:color w:val="FFFFFF"/>
                <w:sz w:val="17"/>
              </w:rPr>
              <w:t>Frecuencia</w:t>
            </w:r>
          </w:p>
        </w:tc>
        <w:tc>
          <w:tcPr>
            <w:tcW w:type="dxa" w:w="2593"/>
            <w:shd w:val="clear" w:fill="0056B4"/>
          </w:tcPr>
          <w:p>
            <w:pPr>
              <w:jc w:val="center"/>
            </w:pPr>
            <w:r/>
            <w:r>
              <w:rPr>
                <w:rFonts w:ascii="Calibri" w:hAnsi="Calibri"/>
                <w:b/>
                <w:color w:val="FFFFFF"/>
                <w:sz w:val="17"/>
              </w:rPr>
              <w:t>Fuente / evidencia</w:t>
            </w:r>
          </w:p>
        </w:tc>
      </w:tr>
      <w:tr>
        <w:tc>
          <w:tcPr>
            <w:tcW w:type="dxa" w:w="3989"/>
          </w:tcPr>
          <w:p>
            <w:r/>
            <w:r>
              <w:rPr>
                <w:rFonts w:ascii="Calibri" w:hAnsi="Calibri"/>
                <w:b w:val="0"/>
                <w:sz w:val="19"/>
              </w:rPr>
              <w:t>Cumplimiento del plan mensual de preventivos</w:t>
            </w:r>
          </w:p>
        </w:tc>
        <w:tc>
          <w:tcPr>
            <w:tcW w:type="dxa" w:w="1596"/>
          </w:tcPr>
          <w:p>
            <w:r/>
            <w:r>
              <w:rPr>
                <w:rFonts w:ascii="Calibri" w:hAnsi="Calibri"/>
                <w:b w:val="0"/>
                <w:sz w:val="19"/>
              </w:rPr>
              <w:t>[Por definir con la Dirección]</w:t>
            </w:r>
          </w:p>
        </w:tc>
        <w:tc>
          <w:tcPr>
            <w:tcW w:type="dxa" w:w="1795"/>
          </w:tcPr>
          <w:p>
            <w:r/>
            <w:r>
              <w:rPr>
                <w:rFonts w:ascii="Calibri" w:hAnsi="Calibri"/>
                <w:b w:val="0"/>
                <w:sz w:val="19"/>
              </w:rPr>
              <w:t>Mensual</w:t>
            </w:r>
          </w:p>
        </w:tc>
        <w:tc>
          <w:tcPr>
            <w:tcW w:type="dxa" w:w="2593"/>
          </w:tcPr>
          <w:p>
            <w:r/>
            <w:r>
              <w:rPr>
                <w:rFonts w:ascii="Calibri" w:hAnsi="Calibri"/>
                <w:b w:val="0"/>
                <w:sz w:val="19"/>
              </w:rPr>
              <w:t>Plan mensual y agenda (Trello/CRM)</w:t>
            </w:r>
          </w:p>
        </w:tc>
      </w:tr>
      <w:tr>
        <w:tc>
          <w:tcPr>
            <w:tcW w:type="dxa" w:w="3989"/>
          </w:tcPr>
          <w:p>
            <w:r/>
            <w:r>
              <w:rPr>
                <w:rFonts w:ascii="Calibri" w:hAnsi="Calibri"/>
                <w:b w:val="0"/>
                <w:sz w:val="19"/>
              </w:rPr>
              <w:t>First-time-fix en visitas correctivas</w:t>
            </w:r>
          </w:p>
        </w:tc>
        <w:tc>
          <w:tcPr>
            <w:tcW w:type="dxa" w:w="1596"/>
          </w:tcPr>
          <w:p>
            <w:r/>
            <w:r>
              <w:rPr>
                <w:rFonts w:ascii="Calibri" w:hAnsi="Calibri"/>
                <w:b w:val="0"/>
                <w:sz w:val="19"/>
              </w:rPr>
              <w:t>[Por definir con la Dirección]</w:t>
            </w:r>
          </w:p>
        </w:tc>
        <w:tc>
          <w:tcPr>
            <w:tcW w:type="dxa" w:w="1795"/>
          </w:tcPr>
          <w:p>
            <w:r/>
            <w:r>
              <w:rPr>
                <w:rFonts w:ascii="Calibri" w:hAnsi="Calibri"/>
                <w:b w:val="0"/>
                <w:sz w:val="19"/>
              </w:rPr>
              <w:t>Por evento</w:t>
            </w:r>
          </w:p>
        </w:tc>
        <w:tc>
          <w:tcPr>
            <w:tcW w:type="dxa" w:w="2593"/>
          </w:tcPr>
          <w:p>
            <w:r/>
            <w:r>
              <w:rPr>
                <w:rFonts w:ascii="Calibri" w:hAnsi="Calibri"/>
                <w:b w:val="0"/>
                <w:sz w:val="19"/>
              </w:rPr>
              <w:t>Reporte de diagnóstico y de cierre (Trello/CRM)</w:t>
            </w:r>
          </w:p>
        </w:tc>
      </w:tr>
      <w:tr>
        <w:tc>
          <w:tcPr>
            <w:tcW w:type="dxa" w:w="3989"/>
          </w:tcPr>
          <w:p>
            <w:r/>
            <w:r>
              <w:rPr>
                <w:rFonts w:ascii="Calibri" w:hAnsi="Calibri"/>
                <w:b w:val="0"/>
                <w:sz w:val="19"/>
              </w:rPr>
              <w:t>Reincidencias o reaperturas de servicio</w:t>
            </w:r>
          </w:p>
        </w:tc>
        <w:tc>
          <w:tcPr>
            <w:tcW w:type="dxa" w:w="1596"/>
          </w:tcPr>
          <w:p>
            <w:r/>
            <w:r>
              <w:rPr>
                <w:rFonts w:ascii="Calibri" w:hAnsi="Calibri"/>
                <w:b w:val="0"/>
                <w:sz w:val="19"/>
              </w:rPr>
              <w:t>[Por definir con la Dirección]</w:t>
            </w:r>
          </w:p>
        </w:tc>
        <w:tc>
          <w:tcPr>
            <w:tcW w:type="dxa" w:w="1795"/>
          </w:tcPr>
          <w:p>
            <w:r/>
            <w:r>
              <w:rPr>
                <w:rFonts w:ascii="Calibri" w:hAnsi="Calibri"/>
                <w:b w:val="0"/>
                <w:sz w:val="19"/>
              </w:rPr>
              <w:t>Mensual</w:t>
            </w:r>
          </w:p>
        </w:tc>
        <w:tc>
          <w:tcPr>
            <w:tcW w:type="dxa" w:w="2593"/>
          </w:tcPr>
          <w:p>
            <w:r/>
            <w:r>
              <w:rPr>
                <w:rFonts w:ascii="Calibri" w:hAnsi="Calibri"/>
                <w:b w:val="0"/>
                <w:sz w:val="19"/>
              </w:rPr>
              <w:t>Reporte de cierre (Trello/CRM)</w:t>
            </w:r>
          </w:p>
        </w:tc>
      </w:tr>
      <w:tr>
        <w:tc>
          <w:tcPr>
            <w:tcW w:type="dxa" w:w="3989"/>
          </w:tcPr>
          <w:p>
            <w:r/>
            <w:r>
              <w:rPr>
                <w:rFonts w:ascii="Calibri" w:hAnsi="Calibri"/>
                <w:b w:val="0"/>
                <w:sz w:val="19"/>
              </w:rPr>
              <w:t>OS de garantía atendidas en tiempo con cierre documentado</w:t>
            </w:r>
          </w:p>
        </w:tc>
        <w:tc>
          <w:tcPr>
            <w:tcW w:type="dxa" w:w="1596"/>
          </w:tcPr>
          <w:p>
            <w:r/>
            <w:r>
              <w:rPr>
                <w:rFonts w:ascii="Calibri" w:hAnsi="Calibri"/>
                <w:b w:val="0"/>
                <w:sz w:val="19"/>
              </w:rPr>
              <w:t>[Por definir con la Dirección]</w:t>
            </w:r>
          </w:p>
        </w:tc>
        <w:tc>
          <w:tcPr>
            <w:tcW w:type="dxa" w:w="1795"/>
          </w:tcPr>
          <w:p>
            <w:r/>
            <w:r>
              <w:rPr>
                <w:rFonts w:ascii="Calibri" w:hAnsi="Calibri"/>
                <w:b w:val="0"/>
                <w:sz w:val="19"/>
              </w:rPr>
              <w:t>Por evento</w:t>
            </w:r>
          </w:p>
        </w:tc>
        <w:tc>
          <w:tcPr>
            <w:tcW w:type="dxa" w:w="2593"/>
          </w:tcPr>
          <w:p>
            <w:r/>
            <w:r>
              <w:rPr>
                <w:rFonts w:ascii="Calibri" w:hAnsi="Calibri"/>
                <w:b w:val="0"/>
                <w:sz w:val="19"/>
              </w:rPr>
              <w:t>OS de garantía (Trello/CRM)</w:t>
            </w:r>
          </w:p>
        </w:tc>
      </w:tr>
      <w:tr>
        <w:tc>
          <w:tcPr>
            <w:tcW w:type="dxa" w:w="3989"/>
          </w:tcPr>
          <w:p>
            <w:r/>
            <w:r>
              <w:rPr>
                <w:rFonts w:ascii="Calibri" w:hAnsi="Calibri"/>
                <w:b w:val="0"/>
                <w:sz w:val="19"/>
              </w:rPr>
              <w:t>Integridad de checklists y evidencia cargada</w:t>
            </w:r>
          </w:p>
        </w:tc>
        <w:tc>
          <w:tcPr>
            <w:tcW w:type="dxa" w:w="1596"/>
          </w:tcPr>
          <w:p>
            <w:r/>
            <w:r>
              <w:rPr>
                <w:rFonts w:ascii="Calibri" w:hAnsi="Calibri"/>
                <w:b w:val="0"/>
                <w:sz w:val="19"/>
              </w:rPr>
              <w:t>[Por definir con la Dirección]</w:t>
            </w:r>
          </w:p>
        </w:tc>
        <w:tc>
          <w:tcPr>
            <w:tcW w:type="dxa" w:w="1795"/>
          </w:tcPr>
          <w:p>
            <w:r/>
            <w:r>
              <w:rPr>
                <w:rFonts w:ascii="Calibri" w:hAnsi="Calibri"/>
                <w:b w:val="0"/>
                <w:sz w:val="19"/>
              </w:rPr>
              <w:t>Por servicio</w:t>
            </w:r>
          </w:p>
        </w:tc>
        <w:tc>
          <w:tcPr>
            <w:tcW w:type="dxa" w:w="2593"/>
          </w:tcPr>
          <w:p>
            <w:r/>
            <w:r>
              <w:rPr>
                <w:rFonts w:ascii="Calibri" w:hAnsi="Calibri"/>
                <w:b w:val="0"/>
                <w:sz w:val="19"/>
              </w:rPr>
              <w:t>Checklists y bitácoras (Trello/CRM)</w:t>
            </w:r>
          </w:p>
        </w:tc>
      </w:tr>
      <w:tr>
        <w:tc>
          <w:tcPr>
            <w:tcW w:type="dxa" w:w="3989"/>
          </w:tcPr>
          <w:p>
            <w:r/>
            <w:r>
              <w:rPr>
                <w:rFonts w:ascii="Calibri" w:hAnsi="Calibri"/>
                <w:b w:val="0"/>
                <w:sz w:val="19"/>
              </w:rPr>
              <w:t>Reporte mensual de calidad y HSE entregado a Gerencia</w:t>
            </w:r>
          </w:p>
        </w:tc>
        <w:tc>
          <w:tcPr>
            <w:tcW w:type="dxa" w:w="1596"/>
          </w:tcPr>
          <w:p>
            <w:r/>
            <w:r>
              <w:rPr>
                <w:rFonts w:ascii="Calibri" w:hAnsi="Calibri"/>
                <w:b w:val="0"/>
                <w:sz w:val="19"/>
              </w:rPr>
              <w:t>[Por definir con la Dirección]</w:t>
            </w:r>
          </w:p>
        </w:tc>
        <w:tc>
          <w:tcPr>
            <w:tcW w:type="dxa" w:w="1795"/>
          </w:tcPr>
          <w:p>
            <w:r/>
            <w:r>
              <w:rPr>
                <w:rFonts w:ascii="Calibri" w:hAnsi="Calibri"/>
                <w:b w:val="0"/>
                <w:sz w:val="19"/>
              </w:rPr>
              <w:t>Mensual</w:t>
            </w:r>
          </w:p>
        </w:tc>
        <w:tc>
          <w:tcPr>
            <w:tcW w:type="dxa" w:w="2593"/>
          </w:tcPr>
          <w:p>
            <w:r/>
            <w:r>
              <w:rPr>
                <w:rFonts w:ascii="Calibri" w:hAnsi="Calibri"/>
                <w:b w:val="0"/>
                <w:sz w:val="19"/>
              </w:rPr>
              <w:t>Reporte de calidad/HSE</w:t>
            </w:r>
          </w:p>
        </w:tc>
      </w:tr>
    </w:tbl>
    <w:p>
      <w:pPr>
        <w:keepNext/>
        <w:spacing w:before="280" w:after="80"/>
        <w:pBdr>
          <w:bottom w:val="single" w:sz="8" w:color="F0E528"/>
        </w:pBdr>
      </w:pPr>
      <w:r>
        <w:rPr>
          <w:rFonts w:ascii="Georgia" w:hAnsi="Georgia"/>
          <w:b/>
          <w:color w:val="0056B4"/>
          <w:sz w:val="26"/>
        </w:rPr>
        <w:t>7. Relaciones y línea de reporte</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992"/>
            <w:shd w:val="clear" w:fill="0056B4"/>
          </w:tcPr>
          <w:p>
            <w:pPr>
              <w:jc w:val="center"/>
            </w:pPr>
            <w:r/>
            <w:r>
              <w:rPr>
                <w:rFonts w:ascii="Calibri" w:hAnsi="Calibri"/>
                <w:b/>
                <w:color w:val="FFFFFF"/>
                <w:sz w:val="17"/>
              </w:rPr>
              <w:t>Relación</w:t>
            </w:r>
          </w:p>
        </w:tc>
        <w:tc>
          <w:tcPr>
            <w:tcW w:type="dxa" w:w="6980"/>
            <w:shd w:val="clear" w:fill="0056B4"/>
          </w:tcPr>
          <w:p>
            <w:pPr>
              <w:jc w:val="center"/>
            </w:pPr>
            <w:r/>
            <w:r>
              <w:rPr>
                <w:rFonts w:ascii="Calibri" w:hAnsi="Calibri"/>
                <w:b/>
                <w:color w:val="FFFFFF"/>
                <w:sz w:val="17"/>
              </w:rPr>
              <w:t>Rol</w:t>
            </w:r>
          </w:p>
        </w:tc>
      </w:tr>
      <w:tr>
        <w:tc>
          <w:tcPr>
            <w:tcW w:type="dxa" w:w="2992"/>
          </w:tcPr>
          <w:p>
            <w:r/>
            <w:r>
              <w:rPr>
                <w:rFonts w:ascii="Calibri" w:hAnsi="Calibri"/>
                <w:b w:val="0"/>
                <w:sz w:val="19"/>
              </w:rPr>
              <w:t>Reporta a</w:t>
            </w:r>
          </w:p>
        </w:tc>
        <w:tc>
          <w:tcPr>
            <w:tcW w:type="dxa" w:w="6980"/>
          </w:tcPr>
          <w:p>
            <w:r/>
            <w:r>
              <w:rPr>
                <w:rFonts w:ascii="Calibri" w:hAnsi="Calibri"/>
                <w:b w:val="0"/>
                <w:sz w:val="19"/>
              </w:rPr>
              <w:t>Gerencia (gerencia específica por validar con la Dirección)</w:t>
            </w:r>
          </w:p>
        </w:tc>
      </w:tr>
      <w:tr>
        <w:tc>
          <w:tcPr>
            <w:tcW w:type="dxa" w:w="2992"/>
          </w:tcPr>
          <w:p>
            <w:r/>
            <w:r>
              <w:rPr>
                <w:rFonts w:ascii="Calibri" w:hAnsi="Calibri"/>
                <w:b w:val="0"/>
                <w:sz w:val="19"/>
              </w:rPr>
              <w:t>Supervisa a</w:t>
            </w:r>
          </w:p>
        </w:tc>
        <w:tc>
          <w:tcPr>
            <w:tcW w:type="dxa" w:w="6980"/>
          </w:tcPr>
          <w:p>
            <w:r/>
            <w:r>
              <w:rPr>
                <w:rFonts w:ascii="Calibri" w:hAnsi="Calibri"/>
                <w:b w:val="0"/>
                <w:sz w:val="19"/>
              </w:rPr>
              <w:t>Equipo técnico de mantenimiento y cuadrillas de O&amp;M</w:t>
            </w:r>
          </w:p>
        </w:tc>
      </w:tr>
      <w:tr>
        <w:tc>
          <w:tcPr>
            <w:tcW w:type="dxa" w:w="2992"/>
          </w:tcPr>
          <w:p>
            <w:r/>
            <w:r>
              <w:rPr>
                <w:rFonts w:ascii="Calibri" w:hAnsi="Calibri"/>
                <w:b w:val="0"/>
                <w:sz w:val="19"/>
              </w:rPr>
              <w:t>Coordinación interna clave</w:t>
            </w:r>
          </w:p>
        </w:tc>
        <w:tc>
          <w:tcPr>
            <w:tcW w:type="dxa" w:w="6980"/>
          </w:tcPr>
          <w:p>
            <w:r/>
            <w:r>
              <w:rPr>
                <w:rFonts w:ascii="Calibri" w:hAnsi="Calibri"/>
                <w:b w:val="0"/>
                <w:sz w:val="19"/>
              </w:rPr>
              <w:t>Almacén (refacciones y requisiciones), Ingeniería (peritajes e interconexión), Ventas (cotizaciones) y Facturación/Cobranza.</w:t>
            </w:r>
          </w:p>
        </w:tc>
      </w:tr>
      <w:tr>
        <w:tc>
          <w:tcPr>
            <w:tcW w:type="dxa" w:w="2992"/>
          </w:tcPr>
          <w:p>
            <w:r/>
            <w:r>
              <w:rPr>
                <w:rFonts w:ascii="Calibri" w:hAnsi="Calibri"/>
                <w:b w:val="0"/>
                <w:sz w:val="19"/>
              </w:rPr>
              <w:t>Interlocutores externos</w:t>
            </w:r>
          </w:p>
        </w:tc>
        <w:tc>
          <w:tcPr>
            <w:tcW w:type="dxa" w:w="6980"/>
          </w:tcPr>
          <w:p>
            <w:r/>
            <w:r>
              <w:rPr>
                <w:rFonts w:ascii="Calibri" w:hAnsi="Calibri"/>
                <w:b w:val="0"/>
                <w:sz w:val="19"/>
              </w:rPr>
              <w:t>Cliente final en postventa y garantías, y fabricantes o proveedores de equipo.</w:t>
            </w:r>
          </w:p>
        </w:tc>
      </w:tr>
    </w:tbl>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Supervisor de Mantenimiento · PER-SMA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