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Borders>
          <w:top w:val="single" w:sz="6" w:color="000000"/>
          <w:left w:val="single" w:sz="6" w:color="000000"/>
          <w:bottom w:val="single" w:sz="6" w:color="000000"/>
          <w:right w:val="single" w:sz="6" w:color="000000"/>
          <w:insideH w:val="single" w:sz="6" w:color="000000"/>
          <w:insideV w:val="single" w:sz="6" w:color="000000"/>
        </w:tblBorders>
      </w:tblPr>
      <w:tblGrid>
        <w:gridCol w:w="2550"/>
        <w:gridCol w:w="2550"/>
        <w:gridCol w:w="2550"/>
        <w:gridCol w:w="2550"/>
      </w:tblGrid>
      <w:tr>
        <w:tc>
          <w:tcPr>
            <w:tcW w:type="dxa" w:w="2448"/>
            <w:vMerge w:val="restart"/>
          </w:tcPr>
          <w:p>
            <w:pPr>
              <w:jc w:val="center"/>
            </w:pPr>
            <w:r/>
            <w:r>
              <w:drawing>
                <wp:inline xmlns:a="http://schemas.openxmlformats.org/drawingml/2006/main" xmlns:pic="http://schemas.openxmlformats.org/drawingml/2006/picture">
                  <wp:extent cx="1224000" cy="402171"/>
                  <wp:docPr id="1" name="Picture 1"/>
                  <wp:cNvGraphicFramePr>
                    <a:graphicFrameLocks noChangeAspect="1"/>
                  </wp:cNvGraphicFramePr>
                  <a:graphic>
                    <a:graphicData uri="http://schemas.openxmlformats.org/drawingml/2006/picture">
                      <pic:pic>
                        <pic:nvPicPr>
                          <pic:cNvPr id="0" name="paneles-solares-chihuahua-financiamiento-cotizacion-credito-energia-solar-cibanco-solarpro-sustainable-energy-logo.png"/>
                          <pic:cNvPicPr/>
                        </pic:nvPicPr>
                        <pic:blipFill>
                          <a:blip r:embed="rId10"/>
                          <a:stretch>
                            <a:fillRect/>
                          </a:stretch>
                        </pic:blipFill>
                        <pic:spPr>
                          <a:xfrm>
                            <a:off x="0" y="0"/>
                            <a:ext cx="1224000" cy="402171"/>
                          </a:xfrm>
                          <a:prstGeom prst="rect"/>
                        </pic:spPr>
                      </pic:pic>
                    </a:graphicData>
                  </a:graphic>
                </wp:inline>
              </w:drawing>
            </w:r>
          </w:p>
        </w:tc>
        <w:tc>
          <w:tcPr>
            <w:tcW w:type="dxa" w:w="4080"/>
            <w:vMerge w:val="restart"/>
            <w:shd w:val="clear" w:fill="F2F2F2"/>
          </w:tcPr>
          <w:p>
            <w:pPr>
              <w:jc w:val="center"/>
            </w:pPr>
            <w:r/>
            <w:r>
              <w:rPr>
                <w:rFonts w:ascii="Georgia" w:hAnsi="Georgia"/>
                <w:b/>
                <w:sz w:val="26"/>
              </w:rPr>
              <w:t>Surtido y Despacho de Material por Proyecto</w:t>
            </w:r>
          </w:p>
        </w:tc>
        <w:tc>
          <w:tcPr>
            <w:tcW w:type="dxa" w:w="1836"/>
          </w:tcPr>
          <w:p>
            <w:r/>
            <w:r>
              <w:rPr>
                <w:rFonts w:ascii="Calibri" w:hAnsi="Calibri"/>
                <w:b/>
                <w:sz w:val="15"/>
              </w:rPr>
              <w:t xml:space="preserve">Código: </w:t>
            </w:r>
            <w:r>
              <w:rPr>
                <w:rFonts w:ascii="Calibri" w:hAnsi="Calibri"/>
                <w:sz w:val="15"/>
              </w:rPr>
              <w:t>PRO-ALM-03</w:t>
            </w:r>
          </w:p>
        </w:tc>
        <w:tc>
          <w:tcPr>
            <w:tcW w:type="dxa" w:w="1836"/>
          </w:tcPr>
          <w:p>
            <w:r/>
            <w:r>
              <w:rPr>
                <w:rFonts w:ascii="Calibri" w:hAnsi="Calibri"/>
                <w:b/>
                <w:sz w:val="15"/>
              </w:rPr>
              <w:t xml:space="preserve">Versión: </w:t>
            </w:r>
            <w:r>
              <w:rPr>
                <w:rFonts w:ascii="Calibri" w:hAnsi="Calibri"/>
                <w:sz w:val="15"/>
              </w:rPr>
              <w:t>1.0</w:t>
            </w:r>
          </w:p>
        </w:tc>
      </w:tr>
      <w:tr>
        <w:tc>
          <w:tcPr>
            <w:tcW w:type="dxa" w:w="2448"/>
            <w:vMerge/>
          </w:tcPr>
          <w:p/>
        </w:tc>
        <w:tc>
          <w:tcPr>
            <w:tcW w:type="dxa" w:w="4080"/>
            <w:vMerge/>
          </w:tcPr>
          <w:p/>
        </w:tc>
        <w:tc>
          <w:tcPr>
            <w:tcW w:type="dxa" w:w="1836"/>
          </w:tcPr>
          <w:p>
            <w:r/>
            <w:r>
              <w:rPr>
                <w:rFonts w:ascii="Calibri" w:hAnsi="Calibri"/>
                <w:b/>
                <w:sz w:val="15"/>
              </w:rPr>
              <w:t xml:space="preserve">Emisión: </w:t>
            </w:r>
            <w:r>
              <w:rPr>
                <w:rFonts w:ascii="Calibri" w:hAnsi="Calibri"/>
                <w:sz w:val="15"/>
              </w:rPr>
              <w:t>Septiembre 2026</w:t>
            </w:r>
          </w:p>
        </w:tc>
        <w:tc>
          <w:tcPr>
            <w:tcW w:type="dxa" w:w="1836"/>
          </w:tcPr>
          <w:p>
            <w:r/>
            <w:r>
              <w:rPr>
                <w:rFonts w:ascii="Calibri" w:hAnsi="Calibri"/>
                <w:b/>
                <w:sz w:val="15"/>
              </w:rPr>
              <w:t xml:space="preserve">Revisión: </w:t>
            </w:r>
            <w:r>
              <w:rPr>
                <w:rFonts w:ascii="Calibri" w:hAnsi="Calibri"/>
                <w:sz w:val="15"/>
              </w:rPr>
              <w:t>Diciembre 2026</w:t>
            </w:r>
          </w:p>
        </w:tc>
      </w:tr>
      <w:tr>
        <w:tc>
          <w:tcPr>
            <w:tcW w:type="dxa" w:w="2448"/>
            <w:vMerge/>
          </w:tcPr>
          <w:p/>
        </w:tc>
        <w:tc>
          <w:tcPr>
            <w:tcW w:type="dxa" w:w="4080"/>
          </w:tcPr>
          <w:p>
            <w:pPr>
              <w:jc w:val="center"/>
            </w:pPr>
            <w:r/>
            <w:r>
              <w:rPr>
                <w:rFonts w:ascii="Calibri" w:hAnsi="Calibri"/>
                <w:b w:val="0"/>
                <w:color w:val="595959"/>
                <w:sz w:val="16"/>
              </w:rPr>
              <w:t>procedimiento</w:t>
            </w:r>
          </w:p>
        </w:tc>
        <w:tc>
          <w:tcPr>
            <w:tcW w:type="dxa" w:w="1836"/>
          </w:tcPr>
          <w:p>
            <w:r/>
            <w:r>
              <w:rPr>
                <w:rFonts w:ascii="Calibri" w:hAnsi="Calibri"/>
                <w:b/>
                <w:sz w:val="15"/>
              </w:rPr>
              <w:t xml:space="preserve">Estado: </w:t>
            </w:r>
            <w:r>
              <w:rPr>
                <w:rFonts w:ascii="Calibri" w:hAnsi="Calibri"/>
                <w:sz w:val="15"/>
              </w:rPr>
              <w:t>Borrador para validación</w:t>
            </w:r>
          </w:p>
        </w:tc>
        <w:tc>
          <w:tcPr>
            <w:tcW w:type="dxa" w:w="1836"/>
          </w:tcPr>
          <w:p>
            <w:r/>
            <w:r>
              <w:rPr>
                <w:rFonts w:ascii="Calibri" w:hAnsi="Calibri"/>
                <w:b/>
                <w:sz w:val="15"/>
              </w:rPr>
              <w:t xml:space="preserve">Página: </w:t>
            </w:r>
            <w:r>
              <w:rPr>
                <w:rFonts w:ascii="Calibri" w:hAnsi="Calibri"/>
                <w:sz w:val="15"/>
              </w:rPr>
              <w:fldChar w:fldCharType="begin"/>
            </w:r>
            <w:r>
              <w:rPr>
                <w:rFonts w:ascii="Calibri" w:hAnsi="Calibri"/>
                <w:sz w:val="15"/>
              </w:rPr>
              <w:instrText xml:space="preserve"> PAGE </w:instrText>
            </w:r>
            <w:r>
              <w:fldChar w:fldCharType="separate"/>
            </w:r>
            <w:r>
              <w:rPr>
                <w:rFonts w:ascii="Calibri" w:hAnsi="Calibri"/>
                <w:sz w:val="15"/>
              </w:rPr>
              <w:t>1</w:t>
            </w:r>
            <w:r>
              <w:fldChar w:fldCharType="end"/>
            </w:r>
            <w:r>
              <w:rPr>
                <w:rFonts w:ascii="Calibri" w:hAnsi="Calibri"/>
                <w:sz w:val="15"/>
              </w:rPr>
              <w:t xml:space="preserve"> de </w:t>
            </w:r>
            <w:r>
              <w:rPr>
                <w:rFonts w:ascii="Calibri" w:hAnsi="Calibri"/>
                <w:sz w:val="15"/>
              </w:rPr>
              <w:fldChar w:fldCharType="begin"/>
            </w:r>
            <w:r>
              <w:rPr>
                <w:rFonts w:ascii="Calibri" w:hAnsi="Calibri"/>
                <w:sz w:val="15"/>
              </w:rPr>
              <w:instrText xml:space="preserve"> NUMPAGES </w:instrText>
            </w:r>
            <w:r>
              <w:fldChar w:fldCharType="separate"/>
            </w:r>
            <w:r>
              <w:rPr>
                <w:rFonts w:ascii="Calibri" w:hAnsi="Calibri"/>
                <w:sz w:val="15"/>
              </w:rPr>
              <w:t>1</w:t>
            </w:r>
            <w:r>
              <w:fldChar w:fldCharType="end"/>
            </w:r>
          </w:p>
        </w:tc>
      </w:tr>
      <w:tr>
        <w:tc>
          <w:tcPr>
            <w:tcW w:type="dxa" w:w="2448"/>
            <w:vMerge/>
          </w:tcPr>
          <w:p/>
        </w:tc>
        <w:tc>
          <w:tcPr>
            <w:tcW w:type="dxa" w:w="4080"/>
          </w:tcPr>
          <w:p>
            <w:pPr>
              <w:jc w:val="center"/>
            </w:pPr>
            <w:r/>
            <w:r>
              <w:rPr>
                <w:rFonts w:ascii="Calibri" w:hAnsi="Calibri"/>
                <w:b w:val="0"/>
                <w:color w:val="595959"/>
                <w:sz w:val="16"/>
              </w:rPr>
              <w:t>Cláusula ISO 9001: 8.5.1, 8.5.4, 8.1</w:t>
            </w:r>
          </w:p>
        </w:tc>
        <w:tc>
          <w:tcPr>
            <w:tcW w:type="dxa" w:w="1836"/>
          </w:tcPr>
          <w:p>
            <w:r/>
            <w:r>
              <w:rPr>
                <w:rFonts w:ascii="Calibri" w:hAnsi="Calibri"/>
                <w:b/>
                <w:sz w:val="15"/>
              </w:rPr>
              <w:t xml:space="preserve">Propietario: </w:t>
            </w:r>
            <w:r>
              <w:rPr>
                <w:rFonts w:ascii="Calibri" w:hAnsi="Calibri"/>
                <w:sz w:val="15"/>
              </w:rPr>
              <w:t>Almacén</w:t>
            </w:r>
          </w:p>
        </w:tc>
        <w:tc>
          <w:tcPr>
            <w:tcW w:type="dxa" w:w="1836"/>
          </w:tcPr>
          <w:p>
            <w:r/>
            <w:r>
              <w:rPr>
                <w:rFonts w:ascii="Calibri" w:hAnsi="Calibri"/>
                <w:b/>
                <w:sz w:val="15"/>
              </w:rPr>
              <w:t xml:space="preserve">Elaboró: </w:t>
            </w:r>
            <w:r>
              <w:rPr>
                <w:rFonts w:ascii="Calibri" w:hAnsi="Calibri"/>
                <w:sz w:val="15"/>
              </w:rPr>
              <w:t>DETA Consultores</w:t>
            </w:r>
          </w:p>
        </w:tc>
      </w:tr>
    </w:tbl>
    <w:p>
      <w:pPr>
        <w:spacing w:before="40" w:after="160"/>
        <w:pBdr>
          <w:bottom w:val="single" w:sz="18" w:color="F0E528"/>
        </w:pBdr>
      </w:pPr>
    </w:p>
    <w:tbl>
      <w:tblPr>
        <w:tblW w:type="auto" w:w="0"/>
        <w:tblLook w:firstColumn="1" w:firstRow="1" w:lastColumn="0" w:lastRow="0" w:noHBand="0" w:noVBand="1" w:val="04A0"/>
        <w:tblBorders>
          <w:left w:val="single" w:sz="16" w:color="F0E528"/>
        </w:tblBorders>
      </w:tblPr>
      <w:tblGrid>
        <w:gridCol w:w="10200"/>
      </w:tblGrid>
      <w:tr>
        <w:tc>
          <w:tcPr>
            <w:tcW w:type="dxa" w:w="10200"/>
            <w:shd w:val="clear" w:fill="FFF9DB"/>
          </w:tcPr>
          <w:p>
            <w:r/>
            <w:r>
              <w:rPr>
                <w:rFonts w:ascii="Calibri" w:hAnsi="Calibri"/>
                <w:b w:val="0"/>
                <w:color w:val="003D80"/>
                <w:sz w:val="17"/>
              </w:rPr>
              <w:t>Importante: Este procedimiento cubre únicamente el surtido y despacho de material para proyectos ya programados, desde que se publica el programa de instalaciones hasta que Almacén entrega el material a la cuadrilla. No cubre la recepción ni el almacenamiento del material (Recepción de Material de Almacén, código [Por validar con SolarPro]), no cubre la entrada al sistema Bind (la registra Lety desde Compras a partir del packing list) ni la elaboración del programa de instalaciones (PRO-OPE-01) o de la requisición de material (PRO-OPE-02, formato FOR-OPE-02), que son responsabilidad de Operaciones. Almacén no compra, no cotiza, no reprograma instalaciones y no autoriza salidas sin pedido y sin programa publicado.</w:t>
            </w:r>
          </w:p>
        </w:tc>
      </w:tr>
    </w:tbl>
    <w:p>
      <w:pPr>
        <w:spacing w:after="40"/>
      </w:pPr>
    </w:p>
    <w:p>
      <w:pPr>
        <w:keepNext/>
        <w:spacing w:before="240" w:after="80"/>
        <w:pBdr>
          <w:bottom w:val="single" w:sz="8" w:color="F0E528"/>
        </w:pBdr>
      </w:pPr>
      <w:r>
        <w:rPr>
          <w:rFonts w:ascii="Georgia" w:hAnsi="Georgia"/>
          <w:b/>
          <w:color w:val="0056B4"/>
          <w:sz w:val="22"/>
        </w:rPr>
        <w:t>1. OBJETIVO</w:t>
      </w:r>
    </w:p>
    <w:p>
      <w:pPr>
        <w:spacing w:after="120"/>
      </w:pPr>
      <w:r>
        <w:rPr>
          <w:rFonts w:ascii="Calibri" w:hAnsi="Calibri"/>
          <w:color w:val="1C242E"/>
          <w:sz w:val="21"/>
        </w:rPr>
        <w:t>Asegurar que el material correcto, completo y en buen estado sea surtido y entregado a la cuadrilla de instalación contra el programa de instalaciones publicado y la requisición de Operaciones, dentro de la ventana de anticipación definida. El procedimiento garantiza que ningún despacho salga sin pedido ni programa, que la disponibilidad se verifique antes de comprometer material y que cada surtido quede documentado para trazabilidad.</w:t>
      </w:r>
    </w:p>
    <w:p>
      <w:pPr>
        <w:keepNext/>
        <w:spacing w:before="240" w:after="80"/>
        <w:pBdr>
          <w:bottom w:val="single" w:sz="8" w:color="F0E528"/>
        </w:pBdr>
      </w:pPr>
      <w:r>
        <w:rPr>
          <w:rFonts w:ascii="Georgia" w:hAnsi="Georgia"/>
          <w:b/>
          <w:color w:val="0056B4"/>
          <w:sz w:val="22"/>
        </w:rPr>
        <w:t>2. ALCANCE</w:t>
      </w:r>
    </w:p>
    <w:p>
      <w:pPr>
        <w:spacing w:after="120"/>
      </w:pPr>
      <w:r>
        <w:rPr>
          <w:rFonts w:ascii="Calibri" w:hAnsi="Calibri"/>
          <w:color w:val="1C242E"/>
          <w:sz w:val="21"/>
        </w:rPr>
        <w:t>Aplica desde la publicación del programa de instalaciones (PRO-OPE-01) y la recepción de la requisición de material (FOR-OPE-02) por parte de Almacén, pasando por la verificación de disponibilidad, el surtido y armado del material por proyecto, hasta la entrega del material a la cuadrilla de instalación. Cubre proyectos residenciales y comerciales que se surten de stock. Excluye los proyectos industriales y de licitación, cuyos inversores y material eléctrico de calibres especiales no son stock y se gestionan aparte contra pedido específico. Excluye la recepción, conteo y almacenamiento del material entrante (procedimiento de Recepción de Almacén), la entrada al sistema Bind (Compras, Lety), la instalación física y el encendido (Ingeniería), y los retrabajos por defecto (Postventa).</w:t>
      </w:r>
    </w:p>
    <w:p>
      <w:pPr>
        <w:keepNext/>
        <w:spacing w:before="240" w:after="80"/>
        <w:pBdr>
          <w:bottom w:val="single" w:sz="8" w:color="F0E528"/>
        </w:pBdr>
      </w:pPr>
      <w:r>
        <w:rPr>
          <w:rFonts w:ascii="Georgia" w:hAnsi="Georgia"/>
          <w:b/>
          <w:color w:val="0056B4"/>
          <w:sz w:val="22"/>
        </w:rPr>
        <w:t>3. DEFINICIONES Y ABREVIATURAS</w:t>
      </w:r>
    </w:p>
    <w:tbl>
      <w:tblPr>
        <w:tblW w:type="auto" w:w="0"/>
        <w:tblLook w:firstColumn="1" w:firstRow="1" w:lastColumn="0" w:lastRow="0" w:noHBand="0" w:noVBand="1" w:val="04A0"/>
        <w:tblBorders>
          <w:top w:val="single" w:sz="4" w:color="404040"/>
          <w:left w:val="single" w:sz="4" w:color="404040"/>
          <w:bottom w:val="single" w:sz="4" w:color="404040"/>
          <w:right w:val="single" w:sz="4" w:color="404040"/>
          <w:insideH w:val="single" w:sz="4" w:color="404040"/>
          <w:insideV w:val="single" w:sz="4" w:color="404040"/>
        </w:tblBorders>
      </w:tblPr>
      <w:tblGrid>
        <w:gridCol w:w="5100"/>
        <w:gridCol w:w="5100"/>
      </w:tblGrid>
      <w:tr>
        <w:tc>
          <w:tcPr>
            <w:tcW w:type="dxa" w:w="2856"/>
            <w:shd w:val="clear" w:fill="0056B4"/>
          </w:tcPr>
          <w:p>
            <w:pPr>
              <w:jc w:val="center"/>
            </w:pPr>
            <w:r/>
            <w:r>
              <w:rPr>
                <w:rFonts w:ascii="Calibri" w:hAnsi="Calibri"/>
                <w:b/>
                <w:color w:val="FFFFFF"/>
                <w:sz w:val="17"/>
              </w:rPr>
              <w:t>Término</w:t>
            </w:r>
          </w:p>
        </w:tc>
        <w:tc>
          <w:tcPr>
            <w:tcW w:type="dxa" w:w="7344"/>
            <w:shd w:val="clear" w:fill="0056B4"/>
          </w:tcPr>
          <w:p>
            <w:pPr>
              <w:jc w:val="center"/>
            </w:pPr>
            <w:r/>
            <w:r>
              <w:rPr>
                <w:rFonts w:ascii="Calibri" w:hAnsi="Calibri"/>
                <w:b/>
                <w:color w:val="FFFFFF"/>
                <w:sz w:val="17"/>
              </w:rPr>
              <w:t>Definición</w:t>
            </w:r>
          </w:p>
        </w:tc>
      </w:tr>
      <w:tr>
        <w:tc>
          <w:tcPr>
            <w:tcW w:type="dxa" w:w="2856"/>
          </w:tcPr>
          <w:p>
            <w:r/>
            <w:r>
              <w:rPr>
                <w:rFonts w:ascii="Calibri" w:hAnsi="Calibri"/>
                <w:b w:val="0"/>
                <w:sz w:val="19"/>
              </w:rPr>
              <w:t>Programa de instalaciones</w:t>
            </w:r>
          </w:p>
        </w:tc>
        <w:tc>
          <w:tcPr>
            <w:tcW w:type="dxa" w:w="7344"/>
          </w:tcPr>
          <w:p>
            <w:r/>
            <w:r>
              <w:rPr>
                <w:rFonts w:ascii="Calibri" w:hAnsi="Calibri"/>
                <w:b w:val="0"/>
                <w:sz w:val="19"/>
              </w:rPr>
              <w:t>Calendario semanal de instalaciones publicado por Operaciones (PRO-OPE-01), organizado por cliente con anticipo confirmado y por vendedor. Es el disparador único del surtido: Almacén no tiene visibilidad de los proyectos hasta que este programa se publica.</w:t>
            </w:r>
          </w:p>
        </w:tc>
      </w:tr>
      <w:tr>
        <w:tc>
          <w:tcPr>
            <w:tcW w:type="dxa" w:w="2856"/>
          </w:tcPr>
          <w:p>
            <w:r/>
            <w:r>
              <w:rPr>
                <w:rFonts w:ascii="Calibri" w:hAnsi="Calibri"/>
                <w:b w:val="0"/>
                <w:sz w:val="19"/>
              </w:rPr>
              <w:t>Requisición de material (FOR-OPE-02)</w:t>
            </w:r>
          </w:p>
        </w:tc>
        <w:tc>
          <w:tcPr>
            <w:tcW w:type="dxa" w:w="7344"/>
          </w:tcPr>
          <w:p>
            <w:r/>
            <w:r>
              <w:rPr>
                <w:rFonts w:ascii="Calibri" w:hAnsi="Calibri"/>
                <w:b w:val="0"/>
                <w:sz w:val="19"/>
              </w:rPr>
              <w:t>Formato de Operaciones donde se apunta, por proyecto, cada requerimiento de material con marca y cantidad de paneles, inversor, estructura y material eléctrico. Se llena revisando el render del diseño y es el documento que Almacén recibe para surtir.</w:t>
            </w:r>
          </w:p>
        </w:tc>
      </w:tr>
      <w:tr>
        <w:tc>
          <w:tcPr>
            <w:tcW w:type="dxa" w:w="2856"/>
          </w:tcPr>
          <w:p>
            <w:r/>
            <w:r>
              <w:rPr>
                <w:rFonts w:ascii="Calibri" w:hAnsi="Calibri"/>
                <w:b w:val="0"/>
                <w:sz w:val="19"/>
              </w:rPr>
              <w:t>Render</w:t>
            </w:r>
          </w:p>
        </w:tc>
        <w:tc>
          <w:tcPr>
            <w:tcW w:type="dxa" w:w="7344"/>
          </w:tcPr>
          <w:p>
            <w:r/>
            <w:r>
              <w:rPr>
                <w:rFonts w:ascii="Calibri" w:hAnsi="Calibri"/>
                <w:b w:val="0"/>
                <w:sz w:val="19"/>
              </w:rPr>
              <w:t>Diseño gráfico del sistema solar del proyecto, del cual Operaciones deriva el material requerido. Almacén no elabora el render; lo usa como referencia cuando la requisición lo acompaña.</w:t>
            </w:r>
          </w:p>
        </w:tc>
      </w:tr>
      <w:tr>
        <w:tc>
          <w:tcPr>
            <w:tcW w:type="dxa" w:w="2856"/>
          </w:tcPr>
          <w:p>
            <w:r/>
            <w:r>
              <w:rPr>
                <w:rFonts w:ascii="Calibri" w:hAnsi="Calibri"/>
                <w:b w:val="0"/>
                <w:sz w:val="19"/>
              </w:rPr>
              <w:t>Surtido</w:t>
            </w:r>
          </w:p>
        </w:tc>
        <w:tc>
          <w:tcPr>
            <w:tcW w:type="dxa" w:w="7344"/>
          </w:tcPr>
          <w:p>
            <w:r/>
            <w:r>
              <w:rPr>
                <w:rFonts w:ascii="Calibri" w:hAnsi="Calibri"/>
                <w:b w:val="0"/>
                <w:sz w:val="19"/>
              </w:rPr>
              <w:t>Actividad de reunir, contar y separar por proyecto el material especificado en la requisición, dejándolo listo para su entrega a la cuadrilla.</w:t>
            </w:r>
          </w:p>
        </w:tc>
      </w:tr>
      <w:tr>
        <w:tc>
          <w:tcPr>
            <w:tcW w:type="dxa" w:w="2856"/>
          </w:tcPr>
          <w:p>
            <w:r/>
            <w:r>
              <w:rPr>
                <w:rFonts w:ascii="Calibri" w:hAnsi="Calibri"/>
                <w:b w:val="0"/>
                <w:sz w:val="19"/>
              </w:rPr>
              <w:t>Despacho</w:t>
            </w:r>
          </w:p>
        </w:tc>
        <w:tc>
          <w:tcPr>
            <w:tcW w:type="dxa" w:w="7344"/>
          </w:tcPr>
          <w:p>
            <w:r/>
            <w:r>
              <w:rPr>
                <w:rFonts w:ascii="Calibri" w:hAnsi="Calibri"/>
                <w:b w:val="0"/>
                <w:sz w:val="19"/>
              </w:rPr>
              <w:t>Entrega física del material surtido a la cuadrilla de instalación. El despacho nunca se realiza sin pedido y sin programa de instalaciones publicado.</w:t>
            </w:r>
          </w:p>
        </w:tc>
      </w:tr>
      <w:tr>
        <w:tc>
          <w:tcPr>
            <w:tcW w:type="dxa" w:w="2856"/>
          </w:tcPr>
          <w:p>
            <w:r/>
            <w:r>
              <w:rPr>
                <w:rFonts w:ascii="Calibri" w:hAnsi="Calibri"/>
                <w:b w:val="0"/>
                <w:sz w:val="19"/>
              </w:rPr>
              <w:t>Ventana de anticipación</w:t>
            </w:r>
          </w:p>
        </w:tc>
        <w:tc>
          <w:tcPr>
            <w:tcW w:type="dxa" w:w="7344"/>
          </w:tcPr>
          <w:p>
            <w:r/>
            <w:r>
              <w:rPr>
                <w:rFonts w:ascii="Calibri" w:hAnsi="Calibri"/>
                <w:b w:val="0"/>
                <w:sz w:val="19"/>
              </w:rPr>
              <w:t>Tiempo mínimo con que el programa debe publicarse antes de la fecha de instalación para permitir el surtido: al menos un día hábil para proyectos locales y dos días hábiles para proyectos foráneos.</w:t>
            </w:r>
          </w:p>
        </w:tc>
      </w:tr>
      <w:tr>
        <w:tc>
          <w:tcPr>
            <w:tcW w:type="dxa" w:w="2856"/>
          </w:tcPr>
          <w:p>
            <w:r/>
            <w:r>
              <w:rPr>
                <w:rFonts w:ascii="Calibri" w:hAnsi="Calibri"/>
                <w:b w:val="0"/>
                <w:sz w:val="19"/>
              </w:rPr>
              <w:t>Packing list</w:t>
            </w:r>
          </w:p>
        </w:tc>
        <w:tc>
          <w:tcPr>
            <w:tcW w:type="dxa" w:w="7344"/>
          </w:tcPr>
          <w:p>
            <w:r/>
            <w:r>
              <w:rPr>
                <w:rFonts w:ascii="Calibri" w:hAnsi="Calibri"/>
                <w:b w:val="0"/>
                <w:sz w:val="19"/>
              </w:rPr>
              <w:t>Documento del proveedor que detalla el contenido de un embarque. Almacén lo verifica en la recepción y lo entrega a Compras (Lety) para la entrada a Bind; en el surtido sirve como referencia de lo recibido.</w:t>
            </w:r>
          </w:p>
        </w:tc>
      </w:tr>
      <w:tr>
        <w:tc>
          <w:tcPr>
            <w:tcW w:type="dxa" w:w="2856"/>
          </w:tcPr>
          <w:p>
            <w:r/>
            <w:r>
              <w:rPr>
                <w:rFonts w:ascii="Calibri" w:hAnsi="Calibri"/>
                <w:b w:val="0"/>
                <w:sz w:val="19"/>
              </w:rPr>
              <w:t>Check List de Surtido y Despacho (FOR-ALM-03)</w:t>
            </w:r>
          </w:p>
        </w:tc>
        <w:tc>
          <w:tcPr>
            <w:tcW w:type="dxa" w:w="7344"/>
          </w:tcPr>
          <w:p>
            <w:r/>
            <w:r>
              <w:rPr>
                <w:rFonts w:ascii="Calibri" w:hAnsi="Calibri"/>
                <w:b w:val="0"/>
                <w:sz w:val="19"/>
              </w:rPr>
              <w:t>Formato de Almacén, ya en uso y aquí formalizado, donde se registra por proyecto la verificación partida por partida del material surtido y la conformidad de la entrega a la cuadrilla.</w:t>
            </w:r>
          </w:p>
        </w:tc>
      </w:tr>
      <w:tr>
        <w:tc>
          <w:tcPr>
            <w:tcW w:type="dxa" w:w="2856"/>
          </w:tcPr>
          <w:p>
            <w:r/>
            <w:r>
              <w:rPr>
                <w:rFonts w:ascii="Calibri" w:hAnsi="Calibri"/>
                <w:b w:val="0"/>
                <w:sz w:val="19"/>
              </w:rPr>
              <w:t>Proyecto industrial o de licitación</w:t>
            </w:r>
          </w:p>
        </w:tc>
        <w:tc>
          <w:tcPr>
            <w:tcW w:type="dxa" w:w="7344"/>
          </w:tcPr>
          <w:p>
            <w:r/>
            <w:r>
              <w:rPr>
                <w:rFonts w:ascii="Calibri" w:hAnsi="Calibri"/>
                <w:b w:val="0"/>
                <w:sz w:val="19"/>
              </w:rPr>
              <w:t>Proyecto cuyo material, en particular inversores y material eléctrico de calibres especiales, no forma parte del stock objetivo y se gestiona contra pedido específico, fuera del flujo de surtido de stock de este procedimiento.</w:t>
            </w:r>
          </w:p>
        </w:tc>
      </w:tr>
    </w:tbl>
    <w:p>
      <w:pPr>
        <w:keepNext/>
        <w:spacing w:before="240" w:after="80"/>
        <w:pBdr>
          <w:bottom w:val="single" w:sz="8" w:color="F0E528"/>
        </w:pBdr>
      </w:pPr>
      <w:r>
        <w:rPr>
          <w:rFonts w:ascii="Georgia" w:hAnsi="Georgia"/>
          <w:b/>
          <w:color w:val="0056B4"/>
          <w:sz w:val="22"/>
        </w:rPr>
        <w:t>4. DOCUMENTOS DE REFERENCIA</w:t>
      </w:r>
    </w:p>
    <w:p>
      <w:pPr>
        <w:pStyle w:val="ListBullet"/>
      </w:pPr>
      <w:r>
        <w:rPr>
          <w:rFonts w:ascii="Calibri" w:hAnsi="Calibri"/>
          <w:sz w:val="20"/>
        </w:rPr>
        <w:t>ISO 9001:2015, cláusula 8.5.1Control de la producción y de la provisión del servicio.</w:t>
      </w:r>
    </w:p>
    <w:p>
      <w:pPr>
        <w:pStyle w:val="ListBullet"/>
      </w:pPr>
      <w:r>
        <w:rPr>
          <w:rFonts w:ascii="Calibri" w:hAnsi="Calibri"/>
          <w:sz w:val="20"/>
        </w:rPr>
        <w:t>ISO 9001:2015, cláusula 8.5.4Preservación de las salidas durante la producción y prestación del servicio.</w:t>
      </w:r>
    </w:p>
    <w:p>
      <w:pPr>
        <w:pStyle w:val="ListBullet"/>
      </w:pPr>
      <w:r>
        <w:rPr>
          <w:rFonts w:ascii="Calibri" w:hAnsi="Calibri"/>
          <w:sz w:val="20"/>
        </w:rPr>
        <w:t>ISO 9001:2015, cláusula 8.1Planificación y control operacional.</w:t>
      </w:r>
    </w:p>
    <w:p>
      <w:pPr>
        <w:pStyle w:val="ListBullet"/>
      </w:pPr>
      <w:r>
        <w:rPr>
          <w:rFonts w:ascii="Calibri" w:hAnsi="Calibri"/>
          <w:sz w:val="20"/>
        </w:rPr>
        <w:t>PRO-OPE-01Programación de instalaciones (disparador del surtido).</w:t>
      </w:r>
    </w:p>
    <w:p>
      <w:pPr>
        <w:pStyle w:val="ListBullet"/>
      </w:pPr>
      <w:r>
        <w:rPr>
          <w:rFonts w:ascii="Calibri" w:hAnsi="Calibri"/>
          <w:sz w:val="20"/>
        </w:rPr>
        <w:t>PRO-OPE-02Requisición y coordinación de material con Almacén (genera FOR-OPE-02).</w:t>
      </w:r>
    </w:p>
    <w:p>
      <w:pPr>
        <w:pStyle w:val="ListBullet"/>
      </w:pPr>
      <w:r>
        <w:rPr>
          <w:rFonts w:ascii="Calibri" w:hAnsi="Calibri"/>
          <w:sz w:val="20"/>
        </w:rPr>
        <w:t>Recepción de Material de AlmacénProcedimiento de recepción y almacenamiento, código [Por validar con SolarPro].</w:t>
      </w:r>
    </w:p>
    <w:p>
      <w:pPr>
        <w:pStyle w:val="ListBullet"/>
      </w:pPr>
      <w:r>
        <w:rPr>
          <w:rFonts w:ascii="Calibri" w:hAnsi="Calibri"/>
          <w:sz w:val="20"/>
        </w:rPr>
        <w:t>SOL-PROC-001Control de documentos y registros del SGC.</w:t>
      </w:r>
    </w:p>
    <w:p>
      <w:pPr>
        <w:pStyle w:val="ListBullet"/>
      </w:pPr>
      <w:r>
        <w:rPr>
          <w:rFonts w:ascii="Calibri" w:hAnsi="Calibri"/>
          <w:sz w:val="20"/>
        </w:rPr>
        <w:t>FOR-OPE-02Requisición de material por proyecto.</w:t>
      </w:r>
    </w:p>
    <w:p>
      <w:pPr>
        <w:pStyle w:val="ListBullet"/>
      </w:pPr>
      <w:r>
        <w:rPr>
          <w:rFonts w:ascii="Calibri" w:hAnsi="Calibri"/>
          <w:sz w:val="20"/>
        </w:rPr>
        <w:t>FOR-ALM-03Check List de Surtido y Despacho de Almacén.</w:t>
      </w:r>
    </w:p>
    <w:p>
      <w:pPr>
        <w:keepNext/>
        <w:spacing w:before="240" w:after="80"/>
        <w:pBdr>
          <w:bottom w:val="single" w:sz="8" w:color="F0E528"/>
        </w:pBdr>
      </w:pPr>
      <w:r>
        <w:rPr>
          <w:rFonts w:ascii="Georgia" w:hAnsi="Georgia"/>
          <w:b/>
          <w:color w:val="0056B4"/>
          <w:sz w:val="22"/>
        </w:rPr>
        <w:t>5. RESPONSABILIDADES</w:t>
      </w:r>
    </w:p>
    <w:tbl>
      <w:tblPr>
        <w:tblW w:type="auto" w:w="0"/>
        <w:tblLook w:firstColumn="1" w:firstRow="1" w:lastColumn="0" w:lastRow="0" w:noHBand="0" w:noVBand="1" w:val="04A0"/>
        <w:tblBorders>
          <w:top w:val="single" w:sz="4" w:color="404040"/>
          <w:left w:val="single" w:sz="4" w:color="404040"/>
          <w:bottom w:val="single" w:sz="4" w:color="404040"/>
          <w:right w:val="single" w:sz="4" w:color="404040"/>
          <w:insideH w:val="single" w:sz="4" w:color="404040"/>
          <w:insideV w:val="single" w:sz="4" w:color="404040"/>
        </w:tblBorders>
      </w:tblPr>
      <w:tblGrid>
        <w:gridCol w:w="5100"/>
        <w:gridCol w:w="5100"/>
      </w:tblGrid>
      <w:tr>
        <w:tc>
          <w:tcPr>
            <w:tcW w:type="dxa" w:w="3060"/>
            <w:shd w:val="clear" w:fill="0056B4"/>
          </w:tcPr>
          <w:p>
            <w:pPr>
              <w:jc w:val="center"/>
            </w:pPr>
            <w:r/>
            <w:r>
              <w:rPr>
                <w:rFonts w:ascii="Calibri" w:hAnsi="Calibri"/>
                <w:b/>
                <w:color w:val="FFFFFF"/>
                <w:sz w:val="17"/>
              </w:rPr>
              <w:t>Responsable</w:t>
            </w:r>
          </w:p>
        </w:tc>
        <w:tc>
          <w:tcPr>
            <w:tcW w:type="dxa" w:w="7140"/>
            <w:shd w:val="clear" w:fill="0056B4"/>
          </w:tcPr>
          <w:p>
            <w:pPr>
              <w:jc w:val="center"/>
            </w:pPr>
            <w:r/>
            <w:r>
              <w:rPr>
                <w:rFonts w:ascii="Calibri" w:hAnsi="Calibri"/>
                <w:b/>
                <w:color w:val="FFFFFF"/>
                <w:sz w:val="17"/>
              </w:rPr>
              <w:t>Funciones</w:t>
            </w:r>
          </w:p>
        </w:tc>
      </w:tr>
      <w:tr>
        <w:tc>
          <w:tcPr>
            <w:tcW w:type="dxa" w:w="3060"/>
          </w:tcPr>
          <w:p>
            <w:r/>
            <w:r>
              <w:rPr>
                <w:rFonts w:ascii="Calibri" w:hAnsi="Calibri"/>
                <w:b w:val="0"/>
                <w:sz w:val="19"/>
              </w:rPr>
              <w:t>Almacén (responsable del procedimiento)</w:t>
            </w:r>
          </w:p>
        </w:tc>
        <w:tc>
          <w:tcPr>
            <w:tcW w:type="dxa" w:w="7140"/>
          </w:tcPr>
          <w:p>
            <w:r/>
            <w:r>
              <w:rPr>
                <w:rFonts w:ascii="Calibri" w:hAnsi="Calibri"/>
                <w:b w:val="0"/>
                <w:sz w:val="19"/>
              </w:rPr>
              <w:t>Monitorear la publicación del programa de instalaciones y recibir la requisición FOR-OPE-02 el mismo día.  ·  Verificar la disponibilidad física de cada partida contra la requisición y escalar faltantes de inmediato.  ·  Surtir, contar y separar el material por proyecto revisando la requisición y, cuando esté disponible, el render.  ·  Registrar el surtido partida por partida en el Check List de Surtido y Despacho (FOR-ALM-03).  ·  Entregar el material a la cuadrilla y obtener su conformidad en la entrega.  ·  Reportar salidas y faltantes a Compras para su reflejo en Bind y reposición.</w:t>
            </w:r>
          </w:p>
        </w:tc>
      </w:tr>
      <w:tr>
        <w:tc>
          <w:tcPr>
            <w:tcW w:type="dxa" w:w="3060"/>
          </w:tcPr>
          <w:p>
            <w:r/>
            <w:r>
              <w:rPr>
                <w:rFonts w:ascii="Calibri" w:hAnsi="Calibri"/>
                <w:b w:val="0"/>
                <w:sz w:val="19"/>
              </w:rPr>
              <w:t>Coordinador de Operaciones e Instalaciones</w:t>
            </w:r>
          </w:p>
        </w:tc>
        <w:tc>
          <w:tcPr>
            <w:tcW w:type="dxa" w:w="7140"/>
          </w:tcPr>
          <w:p>
            <w:r/>
            <w:r>
              <w:rPr>
                <w:rFonts w:ascii="Calibri" w:hAnsi="Calibri"/>
                <w:b w:val="0"/>
                <w:sz w:val="19"/>
              </w:rPr>
              <w:t>Publicar el programa de instalaciones con la ventana de anticipación definida (PRO-OPE-01).  ·  Elaborar y entregar a Almacén la requisición de material FOR-OPE-02 con marcas y cantidades derivadas del render (PRO-OPE-02).  ·  Aclarar dudas de la requisición y confirmar cambios de proyecto antes del surtido.  ·  Gestionar reprogramaciones y vuelos en falso; comunicar oportunamente a Almacén cualquier cambio de fecha.</w:t>
            </w:r>
          </w:p>
        </w:tc>
      </w:tr>
      <w:tr>
        <w:tc>
          <w:tcPr>
            <w:tcW w:type="dxa" w:w="3060"/>
          </w:tcPr>
          <w:p>
            <w:r/>
            <w:r>
              <w:rPr>
                <w:rFonts w:ascii="Calibri" w:hAnsi="Calibri"/>
                <w:b w:val="0"/>
                <w:sz w:val="19"/>
              </w:rPr>
              <w:t>Compras (Lety)</w:t>
            </w:r>
          </w:p>
        </w:tc>
        <w:tc>
          <w:tcPr>
            <w:tcW w:type="dxa" w:w="7140"/>
          </w:tcPr>
          <w:p>
            <w:r/>
            <w:r>
              <w:rPr>
                <w:rFonts w:ascii="Calibri" w:hAnsi="Calibri"/>
                <w:b w:val="0"/>
                <w:sz w:val="19"/>
              </w:rPr>
              <w:t>Recibir el packing list y realizar la entrada al sistema Bind.  ·  Atender las solicitudes de material faltante que escale Almacén tras la verificación de disponibilidad.  ·  Gestionar la reposición del stock objetivo y el pedido específico de proyectos industriales y de licitación.</w:t>
            </w:r>
          </w:p>
        </w:tc>
      </w:tr>
      <w:tr>
        <w:tc>
          <w:tcPr>
            <w:tcW w:type="dxa" w:w="3060"/>
          </w:tcPr>
          <w:p>
            <w:r/>
            <w:r>
              <w:rPr>
                <w:rFonts w:ascii="Calibri" w:hAnsi="Calibri"/>
                <w:b w:val="0"/>
                <w:sz w:val="19"/>
              </w:rPr>
              <w:t>Cuadrilla de instalación</w:t>
            </w:r>
          </w:p>
        </w:tc>
        <w:tc>
          <w:tcPr>
            <w:tcW w:type="dxa" w:w="7140"/>
          </w:tcPr>
          <w:p>
            <w:r/>
            <w:r>
              <w:rPr>
                <w:rFonts w:ascii="Calibri" w:hAnsi="Calibri"/>
                <w:b w:val="0"/>
                <w:sz w:val="19"/>
              </w:rPr>
              <w:t>Recibir el material y verificarlo contra el Check List (FOR-ALM-03) al momento de la entrega.  ·  Confirmar cantidades y estado, y anotar faltantes o daños detectados antes de salir a obra.  ·  Firmar o registrar la conformidad de la entrega.</w:t>
            </w:r>
          </w:p>
        </w:tc>
      </w:tr>
    </w:tbl>
    <w:p>
      <w:pPr>
        <w:keepNext/>
        <w:spacing w:before="240" w:after="80"/>
        <w:pBdr>
          <w:bottom w:val="single" w:sz="8" w:color="F0E528"/>
        </w:pBdr>
      </w:pPr>
      <w:r>
        <w:rPr>
          <w:rFonts w:ascii="Georgia" w:hAnsi="Georgia"/>
          <w:b/>
          <w:color w:val="0056B4"/>
          <w:sz w:val="22"/>
        </w:rPr>
        <w:t>6. POLÍTICAS Y LINEAMIENTOS</w:t>
      </w:r>
    </w:p>
    <w:p>
      <w:pPr>
        <w:spacing w:after="100"/>
      </w:pPr>
      <w:r>
        <w:rPr>
          <w:b/>
          <w:color w:val="0056B4"/>
          <w:sz w:val="20"/>
        </w:rPr>
        <w:t xml:space="preserve">Despacho solo contra pedido y programa publicado. </w:t>
      </w:r>
      <w:r>
        <w:rPr>
          <w:rFonts w:ascii="Calibri" w:hAnsi="Calibri"/>
          <w:sz w:val="20"/>
        </w:rPr>
        <w:t>Ningún material sale de Almacén sin una requisición (FOR-OPE-02) y sin el proyecto incluido en el programa de instalaciones publicado. Almacén no tiene visibilidad de Ingeniería ni de Operaciones hasta que el programa se publica, y este es el único disparador válido del surtido. Esta regla evita salidas no planeadas y descuadres de inventario.</w:t>
      </w:r>
    </w:p>
    <w:p>
      <w:pPr>
        <w:spacing w:after="100"/>
      </w:pPr>
      <w:r>
        <w:rPr>
          <w:b/>
          <w:color w:val="0056B4"/>
          <w:sz w:val="20"/>
        </w:rPr>
        <w:t xml:space="preserve">Ventana mínima de anticipación. </w:t>
      </w:r>
      <w:r>
        <w:rPr>
          <w:rFonts w:ascii="Calibri" w:hAnsi="Calibri"/>
          <w:sz w:val="20"/>
        </w:rPr>
        <w:t>El programa debe publicarse con al menos un día hábil de anticipación para proyectos locales y dos días hábiles para proyectos foráneos. Esta ventana es la que permite verificar disponibilidad y, en su caso, solicitar material faltante antes de la fecha de instalación. Programar por debajo de esta ventana pone en riesgo el surtido completo.</w:t>
      </w:r>
    </w:p>
    <w:p>
      <w:pPr>
        <w:spacing w:after="100"/>
      </w:pPr>
      <w:r>
        <w:rPr>
          <w:b/>
          <w:color w:val="0056B4"/>
          <w:sz w:val="20"/>
        </w:rPr>
        <w:t xml:space="preserve">Verificación de disponibilidad antes de comprometer. </w:t>
      </w:r>
      <w:r>
        <w:rPr>
          <w:rFonts w:ascii="Calibri" w:hAnsi="Calibri"/>
          <w:sz w:val="20"/>
        </w:rPr>
        <w:t>El mismo día en que se publica el programa, Almacén verifica la disponibilidad física de cada partida contra la requisición. Si falta material, lo escala de inmediato para su solicitud, en lugar de suponer que el stock está completo. La confianza actual entre Bind y el físico es alta, pero la verificación física sigue siendo obligatoria por proyecto.</w:t>
      </w:r>
    </w:p>
    <w:p>
      <w:pPr>
        <w:spacing w:after="100"/>
      </w:pPr>
      <w:r>
        <w:rPr>
          <w:b/>
          <w:color w:val="0056B4"/>
          <w:sz w:val="20"/>
        </w:rPr>
        <w:t xml:space="preserve">Proyectos industriales y de licitación fuera de stock. </w:t>
      </w:r>
      <w:r>
        <w:rPr>
          <w:rFonts w:ascii="Calibri" w:hAnsi="Calibri"/>
          <w:sz w:val="20"/>
        </w:rPr>
        <w:t>Los inversores y el material eléctrico de calibres especiales de proyectos industriales y de licitación no son stock. Se gestionan aparte, contra pedido específico, y no se surten desde el flujo de stock residencial y comercial. Tratar estos proyectos como stock generaría faltantes en instalaciones planeadas.</w:t>
      </w:r>
    </w:p>
    <w:p>
      <w:pPr>
        <w:spacing w:after="100"/>
      </w:pPr>
      <w:r>
        <w:rPr>
          <w:b/>
          <w:color w:val="0056B4"/>
          <w:sz w:val="20"/>
        </w:rPr>
        <w:t xml:space="preserve">Frontera con Compras y sistema Bind. </w:t>
      </w:r>
      <w:r>
        <w:rPr>
          <w:rFonts w:ascii="Calibri" w:hAnsi="Calibri"/>
          <w:sz w:val="20"/>
        </w:rPr>
        <w:t>Almacén verifica el material y entrega el packing list a Compras (Lety), quien realiza la entrada al sistema Bind. Almacén no registra entradas en Bind. En el surtido, Almacén reporta salidas y faltantes, pero el reflejo en Bind y la reposición de compra son de Compras. Esta separación mantiene una sola fuente de captura del inventario.</w:t>
      </w:r>
    </w:p>
    <w:p>
      <w:pPr>
        <w:spacing w:after="100"/>
      </w:pPr>
      <w:r>
        <w:rPr>
          <w:b/>
          <w:color w:val="0056B4"/>
          <w:sz w:val="20"/>
        </w:rPr>
        <w:t xml:space="preserve">Frontera con Operaciones. </w:t>
      </w:r>
      <w:r>
        <w:rPr>
          <w:rFonts w:ascii="Calibri" w:hAnsi="Calibri"/>
          <w:sz w:val="20"/>
        </w:rPr>
        <w:t>El programa de instalaciones (PRO-OPE-01) y la requisición de material con marcas y cantidades (PRO-OPE-02, FOR-OPE-02) son responsabilidad de Operaciones, que las deriva del render. Almacén surte contra esos documentos y no decide qué material lleva cada proyecto ni reprograma instalaciones. Las reprogramaciones y los vuelos en falso por falta de comunicación vendedor-cliente se resuelven en Operaciones, no en Almacén.</w:t>
      </w:r>
    </w:p>
    <w:p>
      <w:pPr>
        <w:spacing w:after="100"/>
      </w:pPr>
      <w:r>
        <w:rPr>
          <w:b/>
          <w:color w:val="0056B4"/>
          <w:sz w:val="20"/>
        </w:rPr>
        <w:t xml:space="preserve">Surtido documentado con Check List. </w:t>
      </w:r>
      <w:r>
        <w:rPr>
          <w:rFonts w:ascii="Calibri" w:hAnsi="Calibri"/>
          <w:sz w:val="20"/>
        </w:rPr>
        <w:t>Todo surtido se registra partida por partida en el Check List de Surtido y Despacho (FOR-ALM-03), formato ya en uso que aquí se formaliza. El registro documenta qué material se contó, se separó y se entregó, y deja evidencia para trazabilidad y para aclarar descuadres frente a lo entregado a la cuadrilla.</w:t>
      </w:r>
    </w:p>
    <w:p>
      <w:pPr>
        <w:spacing w:after="100"/>
      </w:pPr>
      <w:r>
        <w:rPr>
          <w:b/>
          <w:color w:val="0056B4"/>
          <w:sz w:val="20"/>
        </w:rPr>
        <w:t xml:space="preserve">Trazabilidad del material. </w:t>
      </w:r>
      <w:r>
        <w:rPr>
          <w:rFonts w:ascii="Calibri" w:hAnsi="Calibri"/>
          <w:sz w:val="20"/>
        </w:rPr>
        <w:t>El surtido se registra por partida, marca y cantidad según la requisición. El control por número de serie o lote de paneles e inversores es un objetivo de mejora aún no implementado en el registro; su alcance y momento de adopción quedan [Por validar con SolarPro]. Hasta entonces, la trazabilidad se sostiene en el conteo por partida y en el Check List.</w:t>
      </w:r>
    </w:p>
    <w:p>
      <w:pPr>
        <w:spacing w:after="100"/>
      </w:pPr>
      <w:r>
        <w:rPr>
          <w:b/>
          <w:color w:val="0056B4"/>
          <w:sz w:val="20"/>
        </w:rPr>
        <w:t xml:space="preserve">Entrega verificada a la cuadrilla. </w:t>
      </w:r>
      <w:r>
        <w:rPr>
          <w:rFonts w:ascii="Calibri" w:hAnsi="Calibri"/>
          <w:sz w:val="20"/>
        </w:rPr>
        <w:t>El material solo se considera despachado cuando la cuadrilla de instalación verifica y acepta lo entregado contra el Check List. La cuadrilla confirma cantidades y estado; los faltantes o daños detectados en la entrega se anotan en el mismo formato antes de que el material salga a obra.</w:t>
      </w:r>
    </w:p>
    <w:p>
      <w:pPr>
        <w:keepNext/>
        <w:spacing w:before="240" w:after="80"/>
        <w:pBdr>
          <w:bottom w:val="single" w:sz="8" w:color="F0E528"/>
        </w:pBdr>
      </w:pPr>
      <w:r>
        <w:rPr>
          <w:rFonts w:ascii="Georgia" w:hAnsi="Georgia"/>
          <w:b/>
          <w:color w:val="0056B4"/>
          <w:sz w:val="22"/>
        </w:rPr>
        <w:t>7. DESARROLLO DEL PROCEDIMIENTO</w:t>
      </w:r>
    </w:p>
    <w:p>
      <w:pPr>
        <w:spacing w:after="80"/>
      </w:pPr>
      <w:r>
        <w:rPr>
          <w:rFonts w:ascii="Calibri" w:hAnsi="Calibri"/>
          <w:color w:val="1C242E"/>
          <w:sz w:val="20"/>
        </w:rPr>
        <w:t>El surtido inicia el día en que Operaciones publica el programa de instalaciones y Almacén recibe la requisición FOR-OPE-02. A partir de ahí Almacén verifica disponibilidad, surte por proyecto, documenta en el Check List y entrega a la cuadrilla. Las siguientes fases describen la secuencia y sus controles.</w:t>
      </w:r>
    </w:p>
    <w:p>
      <w:pPr>
        <w:spacing w:before="160" w:after="60"/>
      </w:pPr>
      <w:r>
        <w:rPr>
          <w:b/>
          <w:color w:val="1C242E"/>
          <w:sz w:val="21"/>
        </w:rPr>
        <w:t>Fase 1. Publicación del programa y recepción de la requisición</w:t>
      </w:r>
    </w:p>
    <w:p>
      <w:pPr>
        <w:spacing w:after="60"/>
        <w:ind w:left="340"/>
      </w:pPr>
      <w:r>
        <w:rPr>
          <w:rFonts w:ascii="Calibri" w:hAnsi="Calibri"/>
          <w:i/>
          <w:color w:val="595959"/>
          <w:sz w:val="19"/>
        </w:rPr>
        <w:t>Almacén identifica los proyectos a surtir cuando Operaciones publica el programa de instalaciones y recibe la requisición de material del proyecto.</w:t>
      </w:r>
    </w:p>
    <w:p>
      <w:pPr>
        <w:spacing w:after="60"/>
        <w:ind w:left="340"/>
      </w:pPr>
      <w:r>
        <w:rPr>
          <w:b/>
          <w:sz w:val="20"/>
        </w:rPr>
        <w:t xml:space="preserve">1. Monitorear la publicación del programa </w:t>
      </w:r>
      <w:r>
        <w:rPr>
          <w:rFonts w:ascii="Calibri" w:hAnsi="Calibri"/>
          <w:sz w:val="20"/>
        </w:rPr>
        <w:t>· Almacén revisa la publicación del programa de instalaciones semanal de Operaciones, del cual deriva los proyectos a surtir. Almacén no tiene visibilidad de Operaciones ni de Ingeniería hasta que el programa se publica, por lo que esta publicación es el punto de arranque del surtido.</w:t>
      </w:r>
    </w:p>
    <w:p>
      <w:pPr>
        <w:spacing w:after="20"/>
        <w:ind w:left="680"/>
      </w:pPr>
      <w:r>
        <w:rPr>
          <w:b/>
          <w:color w:val="595959"/>
          <w:sz w:val="18"/>
        </w:rPr>
        <w:t xml:space="preserve">Responsable: </w:t>
      </w:r>
      <w:r>
        <w:rPr>
          <w:rFonts w:ascii="Calibri" w:hAnsi="Calibri"/>
          <w:color w:val="595959"/>
          <w:sz w:val="18"/>
        </w:rPr>
        <w:t>Almacén monitorea; Coordinador de Operaciones publica.</w:t>
      </w:r>
    </w:p>
    <w:p>
      <w:pPr>
        <w:spacing w:after="20"/>
        <w:ind w:left="680"/>
      </w:pPr>
      <w:r>
        <w:rPr>
          <w:b/>
          <w:color w:val="595959"/>
          <w:sz w:val="18"/>
        </w:rPr>
        <w:t xml:space="preserve">Formato: </w:t>
      </w:r>
      <w:r>
        <w:rPr>
          <w:rFonts w:ascii="Calibri" w:hAnsi="Calibri"/>
          <w:color w:val="595959"/>
          <w:sz w:val="18"/>
        </w:rPr>
        <w:t>Programa de instalaciones (PRO-OPE-01).</w:t>
      </w:r>
    </w:p>
    <w:p>
      <w:pPr>
        <w:spacing w:after="20"/>
        <w:ind w:left="680"/>
      </w:pPr>
      <w:r>
        <w:rPr>
          <w:b/>
          <w:color w:val="595959"/>
          <w:sz w:val="18"/>
        </w:rPr>
        <w:t xml:space="preserve">Interfaz: </w:t>
      </w:r>
      <w:r>
        <w:rPr>
          <w:rFonts w:ascii="Calibri" w:hAnsi="Calibri"/>
          <w:color w:val="595959"/>
          <w:sz w:val="18"/>
        </w:rPr>
        <w:t>PRO-OPE-01: el programa es de Operaciones y es el disparador único del surtido.</w:t>
      </w:r>
    </w:p>
    <w:p>
      <w:pPr>
        <w:spacing w:after="60"/>
        <w:ind w:left="340"/>
      </w:pPr>
      <w:r>
        <w:rPr>
          <w:b/>
          <w:sz w:val="20"/>
        </w:rPr>
        <w:t xml:space="preserve">2. Recibir la requisición de material </w:t>
      </w:r>
      <w:r>
        <w:rPr>
          <w:rFonts w:ascii="Calibri" w:hAnsi="Calibri"/>
          <w:sz w:val="20"/>
        </w:rPr>
        <w:t>· El mismo día de la publicación, Almacén recibe de Operaciones la requisición FOR-OPE-02 con marca y cantidad de paneles, inversor, estructura y material eléctrico por proyecto. Almacén surte contra este documento y no decide qué material lleva cada proyecto.</w:t>
      </w:r>
    </w:p>
    <w:p>
      <w:pPr>
        <w:spacing w:after="20"/>
        <w:ind w:left="680"/>
      </w:pPr>
      <w:r>
        <w:rPr>
          <w:b/>
          <w:color w:val="595959"/>
          <w:sz w:val="18"/>
        </w:rPr>
        <w:t xml:space="preserve">Responsable: </w:t>
      </w:r>
      <w:r>
        <w:rPr>
          <w:rFonts w:ascii="Calibri" w:hAnsi="Calibri"/>
          <w:color w:val="595959"/>
          <w:sz w:val="18"/>
        </w:rPr>
        <w:t>Almacén recibe; Coordinador de Operaciones entrega.</w:t>
      </w:r>
    </w:p>
    <w:p>
      <w:pPr>
        <w:spacing w:after="20"/>
        <w:ind w:left="680"/>
      </w:pPr>
      <w:r>
        <w:rPr>
          <w:b/>
          <w:color w:val="595959"/>
          <w:sz w:val="18"/>
        </w:rPr>
        <w:t xml:space="preserve">Formato: </w:t>
      </w:r>
      <w:r>
        <w:rPr>
          <w:rFonts w:ascii="Calibri" w:hAnsi="Calibri"/>
          <w:color w:val="595959"/>
          <w:sz w:val="18"/>
        </w:rPr>
        <w:t>Requisición de material FOR-OPE-02.</w:t>
      </w:r>
    </w:p>
    <w:p>
      <w:pPr>
        <w:spacing w:after="20"/>
        <w:ind w:left="680"/>
      </w:pPr>
      <w:r>
        <w:rPr>
          <w:b/>
          <w:color w:val="595959"/>
          <w:sz w:val="18"/>
        </w:rPr>
        <w:t xml:space="preserve">Interfaz: </w:t>
      </w:r>
      <w:r>
        <w:rPr>
          <w:rFonts w:ascii="Calibri" w:hAnsi="Calibri"/>
          <w:color w:val="595959"/>
          <w:sz w:val="18"/>
        </w:rPr>
        <w:t>PRO-OPE-02: Almacén no dispara surtido sin requisición y sin programa publicado.</w:t>
      </w:r>
    </w:p>
    <w:p>
      <w:pPr>
        <w:spacing w:after="60"/>
        <w:ind w:left="340"/>
      </w:pPr>
      <w:r>
        <w:rPr>
          <w:b/>
          <w:sz w:val="20"/>
        </w:rPr>
        <w:t xml:space="preserve">3. Confirmar ventana y tipo de proyecto </w:t>
      </w:r>
      <w:r>
        <w:rPr>
          <w:rFonts w:ascii="Calibri" w:hAnsi="Calibri"/>
          <w:sz w:val="20"/>
        </w:rPr>
        <w:t>· Almacén confirma que la requisición corresponde a proyectos incluidos en el programa y que la fecha respeta la ventana de anticipación: un día hábil local, dos días hábiles foráneo. Si el proyecto es industrial o de licitación, lo deriva al flujo de pedido específico y no al surtido de stock.</w:t>
      </w:r>
    </w:p>
    <w:p>
      <w:pPr>
        <w:spacing w:after="20"/>
        <w:ind w:left="680"/>
      </w:pPr>
      <w:r>
        <w:rPr>
          <w:b/>
          <w:color w:val="595959"/>
          <w:sz w:val="18"/>
        </w:rPr>
        <w:t xml:space="preserve">Responsable: </w:t>
      </w:r>
      <w:r>
        <w:rPr>
          <w:rFonts w:ascii="Calibri" w:hAnsi="Calibri"/>
          <w:color w:val="595959"/>
          <w:sz w:val="18"/>
        </w:rPr>
        <w:t>Almacén.</w:t>
      </w:r>
    </w:p>
    <w:p>
      <w:pPr>
        <w:spacing w:after="20"/>
        <w:ind w:left="680"/>
      </w:pPr>
      <w:r>
        <w:rPr>
          <w:b/>
          <w:color w:val="595959"/>
          <w:sz w:val="18"/>
        </w:rPr>
        <w:t xml:space="preserve">Frontera: </w:t>
      </w:r>
      <w:r>
        <w:rPr>
          <w:rFonts w:ascii="Calibri" w:hAnsi="Calibri"/>
          <w:color w:val="595959"/>
          <w:sz w:val="18"/>
        </w:rPr>
        <w:t>Los proyectos industriales y de licitación se gestionan aparte, contra pedido específico, fuera del surtido de stock residencial y comercial.</w:t>
      </w:r>
    </w:p>
    <w:p>
      <w:pPr>
        <w:spacing w:before="160" w:after="60"/>
      </w:pPr>
      <w:r>
        <w:rPr>
          <w:b/>
          <w:color w:val="1C242E"/>
          <w:sz w:val="21"/>
        </w:rPr>
        <w:t>Fase 2. Verificación de disponibilidad</w:t>
      </w:r>
    </w:p>
    <w:p>
      <w:pPr>
        <w:spacing w:after="60"/>
        <w:ind w:left="340"/>
      </w:pPr>
      <w:r>
        <w:rPr>
          <w:rFonts w:ascii="Calibri" w:hAnsi="Calibri"/>
          <w:i/>
          <w:color w:val="595959"/>
          <w:sz w:val="19"/>
        </w:rPr>
        <w:t>El mismo día de la publicación, Almacén verifica físicamente la disponibilidad de cada partida de la requisición y escala faltantes a Compras.</w:t>
      </w:r>
    </w:p>
    <w:p>
      <w:pPr>
        <w:spacing w:after="60"/>
        <w:ind w:left="340"/>
      </w:pPr>
      <w:r>
        <w:rPr>
          <w:b/>
          <w:sz w:val="20"/>
        </w:rPr>
        <w:t xml:space="preserve">4. Verificar disponibilidad física por partida </w:t>
      </w:r>
      <w:r>
        <w:rPr>
          <w:rFonts w:ascii="Calibri" w:hAnsi="Calibri"/>
          <w:sz w:val="20"/>
        </w:rPr>
        <w:t>· El mismo día de la publicación, Almacén verifica físicamente cada partida de la requisición (paneles, inversor, estructura y material eléctrico, con marca y cantidad), confirmando cantidades contra el físico y el estado del material.</w:t>
      </w:r>
    </w:p>
    <w:p>
      <w:pPr>
        <w:spacing w:after="20"/>
        <w:ind w:left="680"/>
      </w:pPr>
      <w:r>
        <w:rPr>
          <w:b/>
          <w:color w:val="595959"/>
          <w:sz w:val="18"/>
        </w:rPr>
        <w:t xml:space="preserve">Responsable: </w:t>
      </w:r>
      <w:r>
        <w:rPr>
          <w:rFonts w:ascii="Calibri" w:hAnsi="Calibri"/>
          <w:color w:val="595959"/>
          <w:sz w:val="18"/>
        </w:rPr>
        <w:t>Almacén.</w:t>
      </w:r>
    </w:p>
    <w:p>
      <w:pPr>
        <w:spacing w:after="20"/>
        <w:ind w:left="680"/>
      </w:pPr>
      <w:r>
        <w:rPr>
          <w:b/>
          <w:color w:val="595959"/>
          <w:sz w:val="18"/>
        </w:rPr>
        <w:t xml:space="preserve">Control: </w:t>
      </w:r>
      <w:r>
        <w:rPr>
          <w:rFonts w:ascii="Calibri" w:hAnsi="Calibri"/>
          <w:color w:val="595959"/>
          <w:sz w:val="18"/>
        </w:rPr>
        <w:t>Verificación física partida por partida contra la requisición, obligatoria aunque la confianza Bind-físico sea alta.</w:t>
      </w:r>
    </w:p>
    <w:p>
      <w:pPr>
        <w:spacing w:after="60"/>
        <w:ind w:left="340"/>
      </w:pPr>
      <w:r>
        <w:rPr>
          <w:b/>
          <w:sz w:val="20"/>
        </w:rPr>
        <w:t xml:space="preserve">5. Escalar faltantes y material dañado </w:t>
      </w:r>
      <w:r>
        <w:rPr>
          <w:rFonts w:ascii="Calibri" w:hAnsi="Calibri"/>
          <w:sz w:val="20"/>
        </w:rPr>
        <w:t>· Si hay faltantes o material dañado, Almacén lo escala de inmediato a Compras para su solicitud o reposición, indicando la fecha de instalación comprometida, en lugar de suponer que el stock está completo.</w:t>
      </w:r>
    </w:p>
    <w:p>
      <w:pPr>
        <w:spacing w:after="20"/>
        <w:ind w:left="680"/>
      </w:pPr>
      <w:r>
        <w:rPr>
          <w:b/>
          <w:color w:val="595959"/>
          <w:sz w:val="18"/>
        </w:rPr>
        <w:t xml:space="preserve">Responsable: </w:t>
      </w:r>
      <w:r>
        <w:rPr>
          <w:rFonts w:ascii="Calibri" w:hAnsi="Calibri"/>
          <w:color w:val="595959"/>
          <w:sz w:val="18"/>
        </w:rPr>
        <w:t>Almacén escala; Compras (Lety) atiende.</w:t>
      </w:r>
    </w:p>
    <w:p>
      <w:pPr>
        <w:spacing w:after="20"/>
        <w:ind w:left="680"/>
      </w:pPr>
      <w:r>
        <w:rPr>
          <w:b/>
          <w:color w:val="595959"/>
          <w:sz w:val="18"/>
        </w:rPr>
        <w:t xml:space="preserve">Frontera: </w:t>
      </w:r>
      <w:r>
        <w:rPr>
          <w:rFonts w:ascii="Calibri" w:hAnsi="Calibri"/>
          <w:color w:val="595959"/>
          <w:sz w:val="18"/>
        </w:rPr>
        <w:t>La compra y el reflejo en Bind son de Compras (Lety), no de Almacén.</w:t>
      </w:r>
    </w:p>
    <w:p>
      <w:pPr>
        <w:spacing w:before="160" w:after="60"/>
      </w:pPr>
      <w:r>
        <w:rPr>
          <w:b/>
          <w:color w:val="1C242E"/>
          <w:sz w:val="21"/>
        </w:rPr>
        <w:t>Fase 3. Surtido y armado por proyecto</w:t>
      </w:r>
    </w:p>
    <w:p>
      <w:pPr>
        <w:spacing w:after="60"/>
        <w:ind w:left="340"/>
      </w:pPr>
      <w:r>
        <w:rPr>
          <w:rFonts w:ascii="Calibri" w:hAnsi="Calibri"/>
          <w:i/>
          <w:color w:val="595959"/>
          <w:sz w:val="19"/>
        </w:rPr>
        <w:t>Almacén reúne, cuenta y separa el material por proyecto y registra cada partida en el Check List de Surtido y Despacho.</w:t>
      </w:r>
    </w:p>
    <w:p>
      <w:pPr>
        <w:spacing w:after="60"/>
        <w:ind w:left="340"/>
      </w:pPr>
      <w:r>
        <w:rPr>
          <w:b/>
          <w:sz w:val="20"/>
        </w:rPr>
        <w:t xml:space="preserve">6. Reunir y separar el material por proyecto </w:t>
      </w:r>
      <w:r>
        <w:rPr>
          <w:rFonts w:ascii="Calibri" w:hAnsi="Calibri"/>
          <w:sz w:val="20"/>
        </w:rPr>
        <w:t>· Almacén reúne, cuenta y separa el material por proyecto revisando la requisición y, cuando está disponible, el render. Verifica que el kit corresponda a estructura más material eléctrico con la marca y cantidad de paneles e inversor indicados.</w:t>
      </w:r>
    </w:p>
    <w:p>
      <w:pPr>
        <w:spacing w:after="20"/>
        <w:ind w:left="680"/>
      </w:pPr>
      <w:r>
        <w:rPr>
          <w:b/>
          <w:color w:val="595959"/>
          <w:sz w:val="18"/>
        </w:rPr>
        <w:t xml:space="preserve">Responsable: </w:t>
      </w:r>
      <w:r>
        <w:rPr>
          <w:rFonts w:ascii="Calibri" w:hAnsi="Calibri"/>
          <w:color w:val="595959"/>
          <w:sz w:val="18"/>
        </w:rPr>
        <w:t>Almacén.</w:t>
      </w:r>
    </w:p>
    <w:p>
      <w:pPr>
        <w:spacing w:after="20"/>
        <w:ind w:left="680"/>
      </w:pPr>
      <w:r>
        <w:rPr>
          <w:b/>
          <w:color w:val="595959"/>
          <w:sz w:val="18"/>
        </w:rPr>
        <w:t xml:space="preserve">Formato: </w:t>
      </w:r>
      <w:r>
        <w:rPr>
          <w:rFonts w:ascii="Calibri" w:hAnsi="Calibri"/>
          <w:color w:val="595959"/>
          <w:sz w:val="18"/>
        </w:rPr>
        <w:t>Requisición FOR-OPE-02 y referencia al render.</w:t>
      </w:r>
    </w:p>
    <w:p>
      <w:pPr>
        <w:spacing w:after="60"/>
        <w:ind w:left="340"/>
      </w:pPr>
      <w:r>
        <w:rPr>
          <w:b/>
          <w:sz w:val="20"/>
        </w:rPr>
        <w:t xml:space="preserve">7. Registrar el surtido partida por partida </w:t>
      </w:r>
      <w:r>
        <w:rPr>
          <w:rFonts w:ascii="Calibri" w:hAnsi="Calibri"/>
          <w:sz w:val="20"/>
        </w:rPr>
        <w:t>· Cada partida surtida se registra en el Check List de Surtido y Despacho (FOR-ALM-03), anotando cantidad y estado del material.</w:t>
      </w:r>
    </w:p>
    <w:p>
      <w:pPr>
        <w:spacing w:after="20"/>
        <w:ind w:left="680"/>
      </w:pPr>
      <w:r>
        <w:rPr>
          <w:b/>
          <w:color w:val="595959"/>
          <w:sz w:val="18"/>
        </w:rPr>
        <w:t xml:space="preserve">Responsable: </w:t>
      </w:r>
      <w:r>
        <w:rPr>
          <w:rFonts w:ascii="Calibri" w:hAnsi="Calibri"/>
          <w:color w:val="595959"/>
          <w:sz w:val="18"/>
        </w:rPr>
        <w:t>Almacén.</w:t>
      </w:r>
    </w:p>
    <w:p>
      <w:pPr>
        <w:spacing w:after="20"/>
        <w:ind w:left="680"/>
      </w:pPr>
      <w:r>
        <w:rPr>
          <w:b/>
          <w:color w:val="595959"/>
          <w:sz w:val="18"/>
        </w:rPr>
        <w:t xml:space="preserve">Formato: </w:t>
      </w:r>
      <w:r>
        <w:rPr>
          <w:rFonts w:ascii="Calibri" w:hAnsi="Calibri"/>
          <w:color w:val="595959"/>
          <w:sz w:val="18"/>
        </w:rPr>
        <w:t>Check List de Surtido y Despacho FOR-ALM-03.</w:t>
      </w:r>
    </w:p>
    <w:p>
      <w:pPr>
        <w:spacing w:after="20"/>
        <w:ind w:left="680"/>
      </w:pPr>
      <w:r>
        <w:rPr>
          <w:b/>
          <w:color w:val="595959"/>
          <w:sz w:val="18"/>
        </w:rPr>
        <w:t xml:space="preserve">Control: </w:t>
      </w:r>
      <w:r>
        <w:rPr>
          <w:rFonts w:ascii="Calibri" w:hAnsi="Calibri"/>
          <w:color w:val="595959"/>
          <w:sz w:val="18"/>
        </w:rPr>
        <w:t>Conteo por partida y marca; registro de estado del material (por ejemplo panel fracturado detectado al abrir tarima).</w:t>
      </w:r>
    </w:p>
    <w:p>
      <w:pPr>
        <w:spacing w:after="60"/>
        <w:ind w:left="340"/>
      </w:pPr>
      <w:r>
        <w:rPr>
          <w:b/>
          <w:sz w:val="20"/>
        </w:rPr>
        <w:t xml:space="preserve">8. Confirmar el kit completo por proyecto </w:t>
      </w:r>
      <w:r>
        <w:rPr>
          <w:rFonts w:ascii="Calibri" w:hAnsi="Calibri"/>
          <w:sz w:val="20"/>
        </w:rPr>
        <w:t>· Almacén verifica que el kit quede completo antes del despacho. La confirmación de que el kit llega completo a obra es un punto señalado por Operaciones y su control queda [Por validar con SolarPro].</w:t>
      </w:r>
    </w:p>
    <w:p>
      <w:pPr>
        <w:spacing w:after="20"/>
        <w:ind w:left="680"/>
      </w:pPr>
      <w:r>
        <w:rPr>
          <w:b/>
          <w:color w:val="595959"/>
          <w:sz w:val="18"/>
        </w:rPr>
        <w:t xml:space="preserve">Responsable: </w:t>
      </w:r>
      <w:r>
        <w:rPr>
          <w:rFonts w:ascii="Calibri" w:hAnsi="Calibri"/>
          <w:color w:val="595959"/>
          <w:sz w:val="18"/>
        </w:rPr>
        <w:t>Almacén.</w:t>
      </w:r>
    </w:p>
    <w:p>
      <w:pPr>
        <w:spacing w:after="20"/>
        <w:ind w:left="680"/>
      </w:pPr>
      <w:r>
        <w:rPr>
          <w:b/>
          <w:color w:val="595959"/>
          <w:sz w:val="18"/>
        </w:rPr>
        <w:t xml:space="preserve">Frontera: </w:t>
      </w:r>
      <w:r>
        <w:rPr>
          <w:rFonts w:ascii="Calibri" w:hAnsi="Calibri"/>
          <w:color w:val="595959"/>
          <w:sz w:val="18"/>
        </w:rPr>
        <w:t>La preparación de obra y la verificación de kit completo antes de salir son de Operaciones (PRO-OPE-02).</w:t>
      </w:r>
    </w:p>
    <w:p>
      <w:pPr>
        <w:spacing w:before="160" w:after="60"/>
      </w:pPr>
      <w:r>
        <w:rPr>
          <w:b/>
          <w:color w:val="1C242E"/>
          <w:sz w:val="21"/>
        </w:rPr>
        <w:t>Fase 4. Entrega a la cuadrilla</w:t>
      </w:r>
    </w:p>
    <w:p>
      <w:pPr>
        <w:spacing w:after="60"/>
        <w:ind w:left="340"/>
      </w:pPr>
      <w:r>
        <w:rPr>
          <w:rFonts w:ascii="Calibri" w:hAnsi="Calibri"/>
          <w:i/>
          <w:color w:val="595959"/>
          <w:sz w:val="19"/>
        </w:rPr>
        <w:t>Almacén entrega el material a la cuadrilla de instalación, que lo verifica y acepta contra el Check List antes de que salga a obra.</w:t>
      </w:r>
    </w:p>
    <w:p>
      <w:pPr>
        <w:spacing w:after="60"/>
        <w:ind w:left="340"/>
      </w:pPr>
      <w:r>
        <w:rPr>
          <w:b/>
          <w:sz w:val="20"/>
        </w:rPr>
        <w:t xml:space="preserve">9. Entregar el material a la cuadrilla </w:t>
      </w:r>
      <w:r>
        <w:rPr>
          <w:rFonts w:ascii="Calibri" w:hAnsi="Calibri"/>
          <w:sz w:val="20"/>
        </w:rPr>
        <w:t>· Almacén entrega físicamente el material surtido a la cuadrilla de instalación contra el Check List de Surtido y Despacho, sin autorizar salidas sin pedido y sin programa publicado.</w:t>
      </w:r>
    </w:p>
    <w:p>
      <w:pPr>
        <w:spacing w:after="20"/>
        <w:ind w:left="680"/>
      </w:pPr>
      <w:r>
        <w:rPr>
          <w:b/>
          <w:color w:val="595959"/>
          <w:sz w:val="18"/>
        </w:rPr>
        <w:t xml:space="preserve">Responsable: </w:t>
      </w:r>
      <w:r>
        <w:rPr>
          <w:rFonts w:ascii="Calibri" w:hAnsi="Calibri"/>
          <w:color w:val="595959"/>
          <w:sz w:val="18"/>
        </w:rPr>
        <w:t>Almacén entrega; Cuadrilla de instalación recibe.</w:t>
      </w:r>
    </w:p>
    <w:p>
      <w:pPr>
        <w:spacing w:after="20"/>
        <w:ind w:left="680"/>
      </w:pPr>
      <w:r>
        <w:rPr>
          <w:b/>
          <w:color w:val="595959"/>
          <w:sz w:val="18"/>
        </w:rPr>
        <w:t xml:space="preserve">Formato: </w:t>
      </w:r>
      <w:r>
        <w:rPr>
          <w:rFonts w:ascii="Calibri" w:hAnsi="Calibri"/>
          <w:color w:val="595959"/>
          <w:sz w:val="18"/>
        </w:rPr>
        <w:t>Check List de Surtido y Despacho FOR-ALM-03.</w:t>
      </w:r>
    </w:p>
    <w:p>
      <w:pPr>
        <w:spacing w:after="60"/>
        <w:ind w:left="340"/>
      </w:pPr>
      <w:r>
        <w:rPr>
          <w:b/>
          <w:sz w:val="20"/>
        </w:rPr>
        <w:t xml:space="preserve">10. Verificar y registrar la conformidad </w:t>
      </w:r>
      <w:r>
        <w:rPr>
          <w:rFonts w:ascii="Calibri" w:hAnsi="Calibri"/>
          <w:sz w:val="20"/>
        </w:rPr>
        <w:t>· La cuadrilla verifica cantidades y estado contra el Check List; los faltantes o daños detectados se anotan en el mismo formato antes de que el material salga a obra, y la cuadrilla firma o registra su conformidad. Con la conformidad, el material queda oficialmente despachado.</w:t>
      </w:r>
    </w:p>
    <w:p>
      <w:pPr>
        <w:spacing w:after="20"/>
        <w:ind w:left="680"/>
      </w:pPr>
      <w:r>
        <w:rPr>
          <w:b/>
          <w:color w:val="595959"/>
          <w:sz w:val="18"/>
        </w:rPr>
        <w:t xml:space="preserve">Responsable: </w:t>
      </w:r>
      <w:r>
        <w:rPr>
          <w:rFonts w:ascii="Calibri" w:hAnsi="Calibri"/>
          <w:color w:val="595959"/>
          <w:sz w:val="18"/>
        </w:rPr>
        <w:t>Cuadrilla de instalación verifica y acepta.</w:t>
      </w:r>
    </w:p>
    <w:p>
      <w:pPr>
        <w:spacing w:after="20"/>
        <w:ind w:left="680"/>
      </w:pPr>
      <w:r>
        <w:rPr>
          <w:b/>
          <w:color w:val="595959"/>
          <w:sz w:val="18"/>
        </w:rPr>
        <w:t xml:space="preserve">Registro: </w:t>
      </w:r>
      <w:r>
        <w:rPr>
          <w:rFonts w:ascii="Calibri" w:hAnsi="Calibri"/>
          <w:color w:val="595959"/>
          <w:sz w:val="18"/>
        </w:rPr>
        <w:t>Check List de Surtido y Despacho FOR-ALM-03 con conformidad de la cuadrilla.</w:t>
      </w:r>
    </w:p>
    <w:p>
      <w:pPr>
        <w:spacing w:after="20"/>
        <w:ind w:left="680"/>
      </w:pPr>
      <w:r>
        <w:rPr>
          <w:b/>
          <w:color w:val="595959"/>
          <w:sz w:val="18"/>
        </w:rPr>
        <w:t xml:space="preserve">Frontera: </w:t>
      </w:r>
      <w:r>
        <w:rPr>
          <w:rFonts w:ascii="Calibri" w:hAnsi="Calibri"/>
          <w:color w:val="595959"/>
          <w:sz w:val="18"/>
        </w:rPr>
        <w:t>La instalación física, el encendido y la revisión eléctrica son de Ingeniería (PRO-ING-04, PRO-ING-05); los retrabajos por defecto son de Postventa (PRO-PVM-01 a PRO-PVM-05).</w:t>
      </w:r>
    </w:p>
    <w:p>
      <w:pPr>
        <w:spacing w:before="160" w:after="60"/>
      </w:pPr>
      <w:r>
        <w:rPr>
          <w:b/>
          <w:color w:val="1C242E"/>
          <w:sz w:val="21"/>
        </w:rPr>
        <w:t>Fase 5. Cierre y trazabilidad</w:t>
      </w:r>
    </w:p>
    <w:p>
      <w:pPr>
        <w:spacing w:after="60"/>
        <w:ind w:left="340"/>
      </w:pPr>
      <w:r>
        <w:rPr>
          <w:rFonts w:ascii="Calibri" w:hAnsi="Calibri"/>
          <w:i/>
          <w:color w:val="595959"/>
          <w:sz w:val="19"/>
        </w:rPr>
        <w:t>Almacén cierra el surtido con el Check List archivado y reporta a Compras las salidas y faltantes para su reflejo en Bind y la reposición del stock.</w:t>
      </w:r>
    </w:p>
    <w:p>
      <w:pPr>
        <w:spacing w:after="60"/>
        <w:ind w:left="340"/>
      </w:pPr>
      <w:r>
        <w:rPr>
          <w:b/>
          <w:sz w:val="20"/>
        </w:rPr>
        <w:t xml:space="preserve">11. Cerrar y archivar el Check List </w:t>
      </w:r>
      <w:r>
        <w:rPr>
          <w:rFonts w:ascii="Calibri" w:hAnsi="Calibri"/>
          <w:sz w:val="20"/>
        </w:rPr>
        <w:t>· Almacén cierra el surtido dejando el Check List de Surtido y Despacho completo y archivado como evidencia de trazabilidad del proyecto.</w:t>
      </w:r>
    </w:p>
    <w:p>
      <w:pPr>
        <w:spacing w:after="20"/>
        <w:ind w:left="680"/>
      </w:pPr>
      <w:r>
        <w:rPr>
          <w:b/>
          <w:color w:val="595959"/>
          <w:sz w:val="18"/>
        </w:rPr>
        <w:t xml:space="preserve">Responsable: </w:t>
      </w:r>
      <w:r>
        <w:rPr>
          <w:rFonts w:ascii="Calibri" w:hAnsi="Calibri"/>
          <w:color w:val="595959"/>
          <w:sz w:val="18"/>
        </w:rPr>
        <w:t>Almacén.</w:t>
      </w:r>
    </w:p>
    <w:p>
      <w:pPr>
        <w:spacing w:after="20"/>
        <w:ind w:left="680"/>
      </w:pPr>
      <w:r>
        <w:rPr>
          <w:b/>
          <w:color w:val="595959"/>
          <w:sz w:val="18"/>
        </w:rPr>
        <w:t xml:space="preserve">Registro: </w:t>
      </w:r>
      <w:r>
        <w:rPr>
          <w:rFonts w:ascii="Calibri" w:hAnsi="Calibri"/>
          <w:color w:val="595959"/>
          <w:sz w:val="18"/>
        </w:rPr>
        <w:t>Check List FOR-ALM-03 archivado.</w:t>
      </w:r>
    </w:p>
    <w:p>
      <w:pPr>
        <w:spacing w:after="60"/>
        <w:ind w:left="340"/>
      </w:pPr>
      <w:r>
        <w:rPr>
          <w:b/>
          <w:sz w:val="20"/>
        </w:rPr>
        <w:t xml:space="preserve">12. Reportar salidas y faltantes a Compras </w:t>
      </w:r>
      <w:r>
        <w:rPr>
          <w:rFonts w:ascii="Calibri" w:hAnsi="Calibri"/>
          <w:sz w:val="20"/>
        </w:rPr>
        <w:t>· Almacén reporta a Compras las salidas y cualquier faltante o daño para su reflejo en Bind y la reposición del stock objetivo (una a dos semanas para residencial y comercial). El control por número de serie o lote queda pendiente de adopción y su alcance es [Por validar con SolarPro].</w:t>
      </w:r>
    </w:p>
    <w:p>
      <w:pPr>
        <w:spacing w:after="20"/>
        <w:ind w:left="680"/>
      </w:pPr>
      <w:r>
        <w:rPr>
          <w:b/>
          <w:color w:val="595959"/>
          <w:sz w:val="18"/>
        </w:rPr>
        <w:t xml:space="preserve">Responsable: </w:t>
      </w:r>
      <w:r>
        <w:rPr>
          <w:rFonts w:ascii="Calibri" w:hAnsi="Calibri"/>
          <w:color w:val="595959"/>
          <w:sz w:val="18"/>
        </w:rPr>
        <w:t>Almacén reporta; Compras (Lety) refleja en Bind.</w:t>
      </w:r>
    </w:p>
    <w:p>
      <w:pPr>
        <w:spacing w:after="20"/>
        <w:ind w:left="680"/>
      </w:pPr>
      <w:r>
        <w:rPr>
          <w:b/>
          <w:color w:val="595959"/>
          <w:sz w:val="18"/>
        </w:rPr>
        <w:t xml:space="preserve">Frontera: </w:t>
      </w:r>
      <w:r>
        <w:rPr>
          <w:rFonts w:ascii="Calibri" w:hAnsi="Calibri"/>
          <w:color w:val="595959"/>
          <w:sz w:val="18"/>
        </w:rPr>
        <w:t>La entrada y el ajuste en el sistema Bind los realiza Compras (Lety); Almacén no captura en Bind.</w:t>
      </w:r>
    </w:p>
    <w:p>
      <w:pPr>
        <w:keepNext/>
        <w:spacing w:before="240" w:after="80"/>
        <w:pBdr>
          <w:bottom w:val="single" w:sz="8" w:color="F0E528"/>
        </w:pBdr>
      </w:pPr>
      <w:r>
        <w:rPr>
          <w:rFonts w:ascii="Georgia" w:hAnsi="Georgia"/>
          <w:b/>
          <w:color w:val="0056B4"/>
          <w:sz w:val="22"/>
        </w:rPr>
        <w:t>9. REGISTROS Y FORMATOS ASOCIADOS</w:t>
      </w:r>
    </w:p>
    <w:tbl>
      <w:tblPr>
        <w:tblW w:type="auto" w:w="0"/>
        <w:tblLook w:firstColumn="1" w:firstRow="1" w:lastColumn="0" w:lastRow="0" w:noHBand="0" w:noVBand="1" w:val="04A0"/>
        <w:tblBorders>
          <w:top w:val="single" w:sz="4" w:color="404040"/>
          <w:left w:val="single" w:sz="4" w:color="404040"/>
          <w:bottom w:val="single" w:sz="4" w:color="404040"/>
          <w:right w:val="single" w:sz="4" w:color="404040"/>
          <w:insideH w:val="single" w:sz="4" w:color="404040"/>
          <w:insideV w:val="single" w:sz="4" w:color="404040"/>
        </w:tblBorders>
      </w:tblPr>
      <w:tblGrid>
        <w:gridCol w:w="5100"/>
        <w:gridCol w:w="5100"/>
      </w:tblGrid>
      <w:tr>
        <w:tc>
          <w:tcPr>
            <w:tcW w:type="dxa" w:w="2856"/>
            <w:shd w:val="clear" w:fill="0056B4"/>
          </w:tcPr>
          <w:p>
            <w:pPr>
              <w:jc w:val="center"/>
            </w:pPr>
            <w:r/>
            <w:r>
              <w:rPr>
                <w:rFonts w:ascii="Calibri" w:hAnsi="Calibri"/>
                <w:b/>
                <w:color w:val="FFFFFF"/>
                <w:sz w:val="17"/>
              </w:rPr>
              <w:t>Código</w:t>
            </w:r>
          </w:p>
        </w:tc>
        <w:tc>
          <w:tcPr>
            <w:tcW w:type="dxa" w:w="7344"/>
            <w:shd w:val="clear" w:fill="0056B4"/>
          </w:tcPr>
          <w:p>
            <w:pPr>
              <w:jc w:val="center"/>
            </w:pPr>
            <w:r/>
            <w:r>
              <w:rPr>
                <w:rFonts w:ascii="Calibri" w:hAnsi="Calibri"/>
                <w:b/>
                <w:color w:val="FFFFFF"/>
                <w:sz w:val="17"/>
              </w:rPr>
              <w:t>Formato</w:t>
            </w:r>
          </w:p>
        </w:tc>
      </w:tr>
      <w:tr>
        <w:tc>
          <w:tcPr>
            <w:tcW w:type="dxa" w:w="2856"/>
          </w:tcPr>
          <w:p>
            <w:r/>
            <w:r>
              <w:rPr>
                <w:rFonts w:ascii="Calibri" w:hAnsi="Calibri"/>
                <w:b w:val="0"/>
                <w:sz w:val="19"/>
              </w:rPr>
              <w:t>FOR-ALM-03</w:t>
            </w:r>
          </w:p>
        </w:tc>
        <w:tc>
          <w:tcPr>
            <w:tcW w:type="dxa" w:w="7344"/>
          </w:tcPr>
          <w:p>
            <w:r/>
            <w:r>
              <w:rPr>
                <w:rFonts w:ascii="Calibri" w:hAnsi="Calibri"/>
                <w:b w:val="0"/>
                <w:sz w:val="19"/>
              </w:rPr>
              <w:t>Check List de Surtido y Despacho de Almacén</w:t>
            </w:r>
          </w:p>
        </w:tc>
      </w:tr>
      <w:tr>
        <w:tc>
          <w:tcPr>
            <w:tcW w:type="dxa" w:w="2856"/>
          </w:tcPr>
          <w:p>
            <w:r/>
            <w:r>
              <w:rPr>
                <w:rFonts w:ascii="Calibri" w:hAnsi="Calibri"/>
                <w:b w:val="0"/>
                <w:sz w:val="19"/>
              </w:rPr>
              <w:t>FOR-OPE-02</w:t>
            </w:r>
          </w:p>
        </w:tc>
        <w:tc>
          <w:tcPr>
            <w:tcW w:type="dxa" w:w="7344"/>
          </w:tcPr>
          <w:p>
            <w:r/>
            <w:r>
              <w:rPr>
                <w:rFonts w:ascii="Calibri" w:hAnsi="Calibri"/>
                <w:b w:val="0"/>
                <w:sz w:val="19"/>
              </w:rPr>
              <w:t>Requisición de material por proyecto (recibida de Operaciones)</w:t>
            </w:r>
          </w:p>
        </w:tc>
      </w:tr>
      <w:tr>
        <w:tc>
          <w:tcPr>
            <w:tcW w:type="dxa" w:w="2856"/>
          </w:tcPr>
          <w:p>
            <w:r/>
            <w:r>
              <w:rPr>
                <w:rFonts w:ascii="Calibri" w:hAnsi="Calibri"/>
                <w:b w:val="0"/>
                <w:sz w:val="19"/>
              </w:rPr>
              <w:t>Packing list</w:t>
            </w:r>
          </w:p>
        </w:tc>
        <w:tc>
          <w:tcPr>
            <w:tcW w:type="dxa" w:w="7344"/>
          </w:tcPr>
          <w:p>
            <w:r/>
            <w:r>
              <w:rPr>
                <w:rFonts w:ascii="Calibri" w:hAnsi="Calibri"/>
                <w:b w:val="0"/>
                <w:sz w:val="19"/>
              </w:rPr>
              <w:t>Documento de embarque del proveedor (referencia de recepción)</w:t>
            </w:r>
          </w:p>
        </w:tc>
      </w:tr>
    </w:tbl>
    <w:p>
      <w:pPr>
        <w:keepNext/>
        <w:spacing w:before="240" w:after="80"/>
        <w:pBdr>
          <w:bottom w:val="single" w:sz="8" w:color="F0E528"/>
        </w:pBdr>
      </w:pPr>
      <w:r>
        <w:rPr>
          <w:rFonts w:ascii="Georgia" w:hAnsi="Georgia"/>
          <w:b/>
          <w:color w:val="0056B4"/>
          <w:sz w:val="22"/>
        </w:rPr>
        <w:t>10. CONTROL DE CAMBIOS</w:t>
      </w:r>
    </w:p>
    <w:tbl>
      <w:tblPr>
        <w:tblW w:type="auto" w:w="0"/>
        <w:tblLook w:firstColumn="1" w:firstRow="1" w:lastColumn="0" w:lastRow="0" w:noHBand="0" w:noVBand="1" w:val="04A0"/>
        <w:tblBorders>
          <w:top w:val="single" w:sz="4" w:color="404040"/>
          <w:left w:val="single" w:sz="4" w:color="404040"/>
          <w:bottom w:val="single" w:sz="4" w:color="404040"/>
          <w:right w:val="single" w:sz="4" w:color="404040"/>
          <w:insideH w:val="single" w:sz="4" w:color="404040"/>
          <w:insideV w:val="single" w:sz="4" w:color="404040"/>
        </w:tblBorders>
      </w:tblPr>
      <w:tblGrid>
        <w:gridCol w:w="2550"/>
        <w:gridCol w:w="2550"/>
        <w:gridCol w:w="2550"/>
        <w:gridCol w:w="2550"/>
      </w:tblGrid>
      <w:tr>
        <w:tc>
          <w:tcPr>
            <w:tcW w:type="dxa" w:w="1224"/>
            <w:shd w:val="clear" w:fill="0056B4"/>
          </w:tcPr>
          <w:p>
            <w:pPr>
              <w:jc w:val="center"/>
            </w:pPr>
            <w:r/>
            <w:r>
              <w:rPr>
                <w:rFonts w:ascii="Calibri" w:hAnsi="Calibri"/>
                <w:b/>
                <w:color w:val="FFFFFF"/>
                <w:sz w:val="17"/>
              </w:rPr>
              <w:t>Versión</w:t>
            </w:r>
          </w:p>
        </w:tc>
        <w:tc>
          <w:tcPr>
            <w:tcW w:type="dxa" w:w="1632"/>
            <w:shd w:val="clear" w:fill="0056B4"/>
          </w:tcPr>
          <w:p>
            <w:pPr>
              <w:jc w:val="center"/>
            </w:pPr>
            <w:r/>
            <w:r>
              <w:rPr>
                <w:rFonts w:ascii="Calibri" w:hAnsi="Calibri"/>
                <w:b/>
                <w:color w:val="FFFFFF"/>
                <w:sz w:val="17"/>
              </w:rPr>
              <w:t>Fecha</w:t>
            </w:r>
          </w:p>
        </w:tc>
        <w:tc>
          <w:tcPr>
            <w:tcW w:type="dxa" w:w="5712"/>
            <w:shd w:val="clear" w:fill="0056B4"/>
          </w:tcPr>
          <w:p>
            <w:pPr>
              <w:jc w:val="center"/>
            </w:pPr>
            <w:r/>
            <w:r>
              <w:rPr>
                <w:rFonts w:ascii="Calibri" w:hAnsi="Calibri"/>
                <w:b/>
                <w:color w:val="FFFFFF"/>
                <w:sz w:val="17"/>
              </w:rPr>
              <w:t>Descripción del cambio</w:t>
            </w:r>
          </w:p>
        </w:tc>
        <w:tc>
          <w:tcPr>
            <w:tcW w:type="dxa" w:w="1632"/>
            <w:shd w:val="clear" w:fill="0056B4"/>
          </w:tcPr>
          <w:p>
            <w:pPr>
              <w:jc w:val="center"/>
            </w:pPr>
            <w:r/>
            <w:r>
              <w:rPr>
                <w:rFonts w:ascii="Calibri" w:hAnsi="Calibri"/>
                <w:b/>
                <w:color w:val="FFFFFF"/>
                <w:sz w:val="17"/>
              </w:rPr>
              <w:t>Elaboró</w:t>
            </w:r>
          </w:p>
        </w:tc>
      </w:tr>
      <w:tr>
        <w:tc>
          <w:tcPr>
            <w:tcW w:type="dxa" w:w="1224"/>
          </w:tcPr>
          <w:p>
            <w:r/>
            <w:r>
              <w:rPr>
                <w:rFonts w:ascii="Calibri" w:hAnsi="Calibri"/>
                <w:b w:val="0"/>
                <w:sz w:val="19"/>
              </w:rPr>
              <w:t>1.0</w:t>
            </w:r>
          </w:p>
        </w:tc>
        <w:tc>
          <w:tcPr>
            <w:tcW w:type="dxa" w:w="1632"/>
          </w:tcPr>
          <w:p>
            <w:r/>
            <w:r>
              <w:rPr>
                <w:rFonts w:ascii="Calibri" w:hAnsi="Calibri"/>
                <w:b w:val="0"/>
                <w:sz w:val="19"/>
              </w:rPr>
              <w:t>Septiembre 2026</w:t>
            </w:r>
          </w:p>
        </w:tc>
        <w:tc>
          <w:tcPr>
            <w:tcW w:type="dxa" w:w="5712"/>
          </w:tcPr>
          <w:p>
            <w:r/>
            <w:r>
              <w:rPr>
                <w:rFonts w:ascii="Calibri" w:hAnsi="Calibri"/>
                <w:b w:val="0"/>
                <w:sz w:val="19"/>
              </w:rPr>
              <w:t>Emisión inicial del procedimiento de Surtido y Despacho de Material por Proyecto.</w:t>
            </w:r>
          </w:p>
        </w:tc>
        <w:tc>
          <w:tcPr>
            <w:tcW w:type="dxa" w:w="1632"/>
          </w:tcPr>
          <w:p>
            <w:r/>
            <w:r>
              <w:rPr>
                <w:rFonts w:ascii="Calibri" w:hAnsi="Calibri"/>
                <w:b w:val="0"/>
                <w:sz w:val="19"/>
              </w:rPr>
              <w:t>DETA Consultores</w:t>
            </w:r>
          </w:p>
        </w:tc>
      </w:tr>
    </w:tbl>
    <w:p>
      <w:pPr>
        <w:keepNext/>
        <w:spacing w:before="240" w:after="80"/>
        <w:pBdr>
          <w:bottom w:val="single" w:sz="8" w:color="F0E528"/>
        </w:pBdr>
      </w:pPr>
      <w:r>
        <w:rPr>
          <w:rFonts w:ascii="Georgia" w:hAnsi="Georgia"/>
          <w:b/>
          <w:color w:val="0056B4"/>
          <w:sz w:val="22"/>
        </w:rPr>
        <w:t>11. CONTROL DE FIRMAS</w:t>
      </w:r>
    </w:p>
    <w:p>
      <w:pPr>
        <w:spacing w:after="120"/>
      </w:pPr>
    </w:p>
    <w:p>
      <w:pPr>
        <w:keepNext/>
        <w:spacing w:after="320"/>
      </w:pPr>
    </w:p>
    <w:tbl>
      <w:tblPr>
        <w:tblW w:type="auto" w:w="0"/>
        <w:tblLook w:firstColumn="1" w:firstRow="1" w:lastColumn="0" w:lastRow="0" w:noHBand="0" w:noVBand="1" w:val="04A0"/>
      </w:tblPr>
      <w:tblGrid>
        <w:gridCol w:w="3400"/>
        <w:gridCol w:w="3400"/>
        <w:gridCol w:w="3400"/>
      </w:tblGrid>
      <w:tr>
        <w:tc>
          <w:tcPr>
            <w:tcW w:type="dxa" w:w="3400"/>
          </w:tcPr>
          <w:p>
            <w:pPr>
              <w:jc w:val="center"/>
            </w:pPr>
            <w:r/>
            <w:r>
              <w:rPr>
                <w:sz w:val="20"/>
              </w:rPr>
              <w:t>__________________________</w:t>
            </w:r>
          </w:p>
        </w:tc>
        <w:tc>
          <w:tcPr>
            <w:tcW w:type="dxa" w:w="3400"/>
          </w:tcPr>
          <w:p>
            <w:pPr>
              <w:jc w:val="center"/>
            </w:pPr>
            <w:r/>
            <w:r>
              <w:rPr>
                <w:sz w:val="20"/>
              </w:rPr>
              <w:t>__________________________</w:t>
            </w:r>
          </w:p>
        </w:tc>
        <w:tc>
          <w:tcPr>
            <w:tcW w:type="dxa" w:w="3400"/>
          </w:tcPr>
          <w:p>
            <w:pPr>
              <w:jc w:val="center"/>
            </w:pPr>
            <w:r/>
            <w:r>
              <w:rPr>
                <w:sz w:val="20"/>
              </w:rPr>
              <w:t>__________________________</w:t>
            </w:r>
          </w:p>
        </w:tc>
      </w:tr>
      <w:tr>
        <w:tc>
          <w:tcPr>
            <w:tcW w:type="dxa" w:w="3400"/>
          </w:tcPr>
          <w:p>
            <w:pPr>
              <w:jc w:val="center"/>
            </w:pPr>
            <w:r/>
            <w:r>
              <w:rPr>
                <w:rFonts w:ascii="Calibri" w:hAnsi="Calibri"/>
                <w:b w:val="0"/>
                <w:color w:val="595959"/>
                <w:sz w:val="17"/>
              </w:rPr>
              <w:t>Elaboró</w:t>
              <w:br/>
              <w:t>DETA Consultores</w:t>
            </w:r>
          </w:p>
        </w:tc>
        <w:tc>
          <w:tcPr>
            <w:tcW w:type="dxa" w:w="3400"/>
          </w:tcPr>
          <w:p>
            <w:pPr>
              <w:jc w:val="center"/>
            </w:pPr>
            <w:r/>
            <w:r>
              <w:rPr>
                <w:rFonts w:ascii="Calibri" w:hAnsi="Calibri"/>
                <w:b w:val="0"/>
                <w:color w:val="595959"/>
                <w:sz w:val="17"/>
              </w:rPr>
              <w:t>Revisó</w:t>
              <w:br/>
              <w:t>Almacén</w:t>
            </w:r>
          </w:p>
        </w:tc>
        <w:tc>
          <w:tcPr>
            <w:tcW w:type="dxa" w:w="3400"/>
          </w:tcPr>
          <w:p>
            <w:pPr>
              <w:jc w:val="center"/>
            </w:pPr>
            <w:r/>
            <w:r>
              <w:rPr>
                <w:rFonts w:ascii="Calibri" w:hAnsi="Calibri"/>
                <w:b w:val="0"/>
                <w:color w:val="595959"/>
                <w:sz w:val="17"/>
              </w:rPr>
              <w:t>Aprobó</w:t>
              <w:br/>
              <w:t>Dirección General</w:t>
            </w:r>
          </w:p>
        </w:tc>
      </w:tr>
    </w:tbl>
    <w:sectPr w:rsidR="00FC693F" w:rsidRPr="0006063C" w:rsidSect="00034616">
      <w:footerReference w:type="default" r:id="rId9"/>
      <w:pgSz w:w="12240" w:h="15840"/>
      <w:pgMar w:top="907" w:right="1020" w:bottom="907"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rFonts w:ascii="Calibri" w:hAnsi="Calibri"/>
        <w:color w:val="595959"/>
        <w:sz w:val="15"/>
      </w:rPr>
      <w:t>SolarPro · procedimiento · PRO-ALM-03 V1.0</w:t>
    </w:r>
    <w:r>
      <w:tab/>
      <w:tab/>
    </w:r>
    <w:r>
      <w:rPr>
        <w:rFonts w:ascii="Calibri" w:hAnsi="Calibri"/>
        <w:color w:val="595959"/>
        <w:sz w:val="15"/>
      </w:rPr>
      <w:t>Elaboró DETA Consultores</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