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</w:tblPr>
      <w:tblGrid>
        <w:gridCol w:w="2550"/>
        <w:gridCol w:w="2550"/>
        <w:gridCol w:w="2550"/>
        <w:gridCol w:w="2550"/>
      </w:tblGrid>
      <w:tr>
        <w:tc>
          <w:tcPr>
            <w:tcW w:type="dxa" w:w="2244"/>
            <w:vMerge w:val="restart"/>
          </w:tcPr>
          <w:p>
            <w:pPr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152000" cy="37851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neles-solares-chihuahua-financiamiento-cotizacion-credito-energia-solar-cibanco-solarpro-sustainable-energy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37851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652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Documento: Formato de Postventa</w:t>
            </w:r>
          </w:p>
        </w:tc>
        <w:tc>
          <w:tcPr>
            <w:tcW w:type="dxa" w:w="3468"/>
            <w:vMerge w:val="restart"/>
            <w:shd w:val="clear" w:fill="F2F2F2"/>
          </w:tcPr>
          <w:p>
            <w:pPr>
              <w:jc w:val="center"/>
            </w:pPr>
            <w:r/>
            <w:r>
              <w:rPr>
                <w:rFonts w:ascii="Georgia" w:hAnsi="Georgia"/>
                <w:b/>
                <w:sz w:val="24"/>
              </w:rPr>
              <w:t>Ticket de Postventa</w:t>
            </w:r>
          </w:p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Revisión: 1.0</w:t>
            </w:r>
          </w:p>
        </w:tc>
      </w:tr>
      <w:tr>
        <w:tc>
          <w:tcPr>
            <w:tcW w:type="dxa" w:w="2244"/>
            <w:vMerge/>
          </w:tcPr>
          <w:p/>
        </w:tc>
        <w:tc>
          <w:tcPr>
            <w:tcW w:type="dxa" w:w="2652"/>
          </w:tcPr>
          <w:p>
            <w:r/>
            <w:r>
              <w:rPr>
                <w:rFonts w:ascii="Calibri" w:hAnsi="Calibri"/>
                <w:b/>
                <w:sz w:val="18"/>
              </w:rPr>
              <w:t>Código: FOR-PVM-01</w:t>
            </w:r>
          </w:p>
        </w:tc>
        <w:tc>
          <w:tcPr>
            <w:tcW w:type="dxa" w:w="3468"/>
            <w:vMerge/>
          </w:tcPr>
          <w:p/>
        </w:tc>
        <w:tc>
          <w:tcPr>
            <w:tcW w:type="dxa" w:w="1836"/>
          </w:tcPr>
          <w:p>
            <w:r/>
            <w:r>
              <w:rPr>
                <w:rFonts w:ascii="Calibri" w:hAnsi="Calibri"/>
                <w:b w:val="0"/>
                <w:color w:val="595959"/>
                <w:sz w:val="16"/>
              </w:rPr>
              <w:t>Fecha: 02-09-2026</w:t>
            </w:r>
          </w:p>
        </w:tc>
      </w:tr>
    </w:tbl>
    <w:p>
      <w:pPr>
        <w:spacing w:before="40" w:after="120"/>
        <w:pBdr>
          <w:bottom w:val="single" w:sz="18" w:color="F0E528"/>
        </w:pBdr>
      </w:pPr>
    </w:p>
    <w:tbl>
      <w:tblPr>
        <w:tblW w:type="auto" w:w="0"/>
        <w:tblLook w:firstColumn="1" w:firstRow="1" w:lastColumn="0" w:lastRow="0" w:noHBand="0" w:noVBand="1" w:val="04A0"/>
        <w:tblBorders>
          <w:left w:val="single" w:sz="16" w:color="F0E528"/>
        </w:tblBorders>
      </w:tblPr>
      <w:tblGrid>
        <w:gridCol w:w="10200"/>
      </w:tblGrid>
      <w:tr>
        <w:tc>
          <w:tcPr>
            <w:tcW w:type="dxa" w:w="10200"/>
            <w:shd w:val="clear" w:fill="FFF9DB"/>
          </w:tcPr>
          <w:p>
            <w:r/>
            <w:r>
              <w:rPr>
                <w:rFonts w:ascii="Calibri" w:hAnsi="Calibri"/>
                <w:b w:val="0"/>
                <w:color w:val="003D80"/>
                <w:sz w:val="17"/>
              </w:rPr>
              <w:t>Registro del reporte de postventa del cliente y de su ruta de atención. Garantía: SolarPro cubre 2 años por la instalación y el proveedor cubre 5 años por el equipo. La determinación de garantía se realiza tras el análisis preliminar.</w:t>
            </w:r>
          </w:p>
        </w:tc>
      </w:tr>
    </w:tbl>
    <w:p>
      <w:pPr>
        <w:spacing w:after="40"/>
      </w:pP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01 · DATOS DEL TICKET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Folio: </w:t>
            </w:r>
            <w:r>
              <w:rPr>
                <w:sz w:val="20"/>
              </w:rPr>
              <w:t>_____________________________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Fecha de reporte: </w:t>
            </w:r>
            <w:r>
              <w:rPr>
                <w:sz w:val="20"/>
              </w:rPr>
              <w:t>__________________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Medio de contacto: </w:t>
            </w:r>
            <w:r>
              <w:rPr>
                <w:sz w:val="20"/>
              </w:rPr>
              <w:t>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Atendió: </w:t>
            </w:r>
            <w:r>
              <w:rPr>
                <w:sz w:val="20"/>
              </w:rPr>
              <w:t>___________________________</w:t>
            </w:r>
          </w:p>
        </w:tc>
      </w:tr>
    </w:tbl>
    <w:p>
      <w:pPr>
        <w:spacing w:after="120"/>
      </w:pPr>
      <w:r>
        <w:rPr>
          <w:b/>
          <w:sz w:val="20"/>
        </w:rPr>
        <w:t xml:space="preserve">Nombre de registro del cliente: </w:t>
      </w:r>
      <w:r>
        <w:rPr>
          <w:sz w:val="20"/>
        </w:rPr>
        <w:t>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Teléfono: </w:t>
            </w:r>
            <w:r>
              <w:rPr>
                <w:sz w:val="20"/>
              </w:rPr>
              <w:t>__________________________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Correo electrónico: </w:t>
            </w:r>
            <w:r>
              <w:rPr>
                <w:sz w:val="20"/>
              </w:rPr>
              <w:t>________________</w:t>
            </w:r>
          </w:p>
        </w:tc>
      </w:tr>
    </w:tbl>
    <w:p>
      <w:pPr>
        <w:spacing w:after="120"/>
      </w:pPr>
      <w:r>
        <w:rPr>
          <w:b/>
          <w:sz w:val="20"/>
        </w:rPr>
        <w:t xml:space="preserve">Ubicación (escrita o enlace): </w:t>
      </w:r>
      <w:r>
        <w:rPr>
          <w:sz w:val="20"/>
        </w:rPr>
        <w:t>______________________________________________________________________________</w:t>
      </w: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02 · DESCRIPCIÓN DEL REPORTE</w:t>
      </w:r>
    </w:p>
    <w:p>
      <w:pPr>
        <w:spacing w:after="120"/>
      </w:pPr>
      <w:r>
        <w:rPr>
          <w:b/>
          <w:sz w:val="20"/>
        </w:rPr>
        <w:t xml:space="preserve">Falla reportada por el cliente: </w:t>
      </w:r>
      <w:r>
        <w:rPr>
          <w:sz w:val="20"/>
        </w:rPr>
        <w:t>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03 · CONCENTRADO DE EVIDENCIAS RECIBIDAS</w:t>
      </w:r>
    </w:p>
    <w:p>
      <w:pPr>
        <w:spacing w:after="80"/>
      </w:pPr>
      <w:r>
        <w:rPr>
          <w:b w:val="0"/>
          <w:i/>
          <w:sz w:val="19"/>
        </w:rPr>
        <w:t>Marcar lo recibido del cliente (detalle en FOR-PVM-02):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sz w:val="20"/>
              </w:rPr>
              <w:t>☐  Fotos y videos del o los inversores (etiqueta, entradas y salidas de cables)</w:t>
            </w:r>
          </w:p>
          <w:p>
            <w:r>
              <w:rPr>
                <w:sz w:val="20"/>
              </w:rPr>
              <w:t>☐  Pastillas termomagnéticas</w:t>
            </w:r>
          </w:p>
          <w:p>
            <w:r>
              <w:rPr>
                <w:sz w:val="20"/>
              </w:rPr>
              <w:t>☐  Medidor CFE</w:t>
            </w:r>
          </w:p>
          <w:p>
            <w:r>
              <w:rPr>
                <w:sz w:val="20"/>
              </w:rPr>
              <w:t>☐  Instalación general</w:t>
            </w:r>
          </w:p>
          <w:p>
            <w:r>
              <w:rPr>
                <w:sz w:val="20"/>
              </w:rPr>
              <w:t>☐  Recibo de luz</w:t>
            </w:r>
          </w:p>
        </w:tc>
        <w:tc>
          <w:tcPr>
            <w:tcW w:type="dxa" w:w="5100"/>
          </w:tcPr>
          <w:p>
            <w:r/>
            <w:r>
              <w:rPr>
                <w:sz w:val="20"/>
              </w:rPr>
              <w:t>☐  Aplicación de monitoreo (captura o accesos)</w:t>
            </w:r>
          </w:p>
          <w:p>
            <w:r>
              <w:rPr>
                <w:sz w:val="20"/>
              </w:rPr>
              <w:t>☐  Correo electrónico</w:t>
            </w:r>
          </w:p>
          <w:p>
            <w:r>
              <w:rPr>
                <w:sz w:val="20"/>
              </w:rPr>
              <w:t>☐  Nombre de registro</w:t>
            </w:r>
          </w:p>
          <w:p>
            <w:r>
              <w:rPr>
                <w:sz w:val="20"/>
              </w:rPr>
              <w:t>☐  Ubicación (escrita o enlace)</w:t>
            </w:r>
          </w:p>
        </w:tc>
      </w:tr>
    </w:tbl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04 · ANÁLISIS PRELIMINAR</w:t>
      </w:r>
    </w:p>
    <w:p>
      <w:pPr>
        <w:spacing w:after="120"/>
      </w:pPr>
      <w:r>
        <w:rPr>
          <w:b/>
          <w:sz w:val="20"/>
        </w:rPr>
        <w:t xml:space="preserve">Causa probable: </w:t>
      </w:r>
      <w:r>
        <w:rPr>
          <w:sz w:val="20"/>
        </w:rPr>
        <w:t>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p>
      <w:pPr>
        <w:spacing w:after="80"/>
      </w:pPr>
      <w:r>
        <w:rPr>
          <w:b w:val="0"/>
          <w:i/>
          <w:sz w:val="19"/>
        </w:rPr>
        <w:t>Determinación de garantía (detalle en FOR-PVM-04):</w:t>
      </w:r>
    </w:p>
    <w:p>
      <w:pPr>
        <w:spacing w:after="80"/>
      </w:pPr>
      <w:r>
        <w:rPr>
          <w:sz w:val="20"/>
        </w:rPr>
        <w:t>☐  Garantía SolarPro (2 años, instalación)</w:t>
      </w:r>
    </w:p>
    <w:p>
      <w:pPr>
        <w:spacing w:after="80"/>
      </w:pPr>
      <w:r>
        <w:rPr>
          <w:sz w:val="20"/>
        </w:rPr>
        <w:t>☐  Garantía del proveedor (5 años, equipo)</w:t>
      </w:r>
    </w:p>
    <w:p>
      <w:pPr>
        <w:spacing w:after="80"/>
      </w:pPr>
      <w:r>
        <w:rPr>
          <w:sz w:val="20"/>
        </w:rPr>
        <w:t>☐  Servicio de revisión o reconfiguración con cobro</w:t>
      </w:r>
    </w:p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05 · RUTA DE ATENCIÓN</w:t>
      </w:r>
    </w:p>
    <w:p>
      <w:pPr>
        <w:spacing w:after="80"/>
      </w:pPr>
      <w:r>
        <w:rPr>
          <w:sz w:val="20"/>
        </w:rPr>
        <w:t>☐  Resuelto por asistencia telefónica</w:t>
      </w:r>
    </w:p>
    <w:p>
      <w:pPr>
        <w:spacing w:after="80"/>
      </w:pPr>
      <w:r>
        <w:rPr>
          <w:sz w:val="20"/>
        </w:rPr>
        <w:t>☐  Recomendaciones y mantenimiento preventivo (PRO-PVM-02)</w:t>
      </w:r>
    </w:p>
    <w:p>
      <w:pPr>
        <w:spacing w:after="80"/>
      </w:pPr>
      <w:r>
        <w:rPr>
          <w:sz w:val="20"/>
        </w:rPr>
        <w:t>☐  Escalado a Ingeniería u Operaciones (PRO-PVM-04)</w:t>
      </w:r>
    </w:p>
    <w:p>
      <w:pPr>
        <w:spacing w:after="80"/>
      </w:pPr>
      <w:r>
        <w:rPr>
          <w:sz w:val="20"/>
        </w:rPr>
        <w:t>☐  Servicio de revisión o reconfiguración con cobro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Plazo comprometido (15 a 20 días): </w:t>
            </w:r>
            <w:r>
              <w:rPr>
                <w:sz w:val="20"/>
              </w:rPr>
              <w:t>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Fecha compromiso: </w:t>
            </w:r>
            <w:r>
              <w:rPr>
                <w:sz w:val="20"/>
              </w:rPr>
              <w:t>__________________</w:t>
            </w:r>
          </w:p>
        </w:tc>
      </w:tr>
    </w:tbl>
    <w:p>
      <w:pPr>
        <w:keepNext/>
        <w:spacing w:before="200" w:after="80"/>
        <w:pBdr>
          <w:bottom w:val="single" w:sz="8" w:color="F0E528"/>
        </w:pBdr>
      </w:pPr>
      <w:r>
        <w:rPr>
          <w:rFonts w:ascii="Georgia" w:hAnsi="Georgia"/>
          <w:b/>
          <w:color w:val="0056B4"/>
          <w:sz w:val="20"/>
        </w:rPr>
        <w:t>06 · SEGUIMIENTO Y CIERRE</w:t>
      </w:r>
    </w:p>
    <w:p>
      <w:pPr>
        <w:spacing w:after="120"/>
      </w:pPr>
      <w:r>
        <w:rPr>
          <w:b/>
          <w:sz w:val="20"/>
        </w:rPr>
        <w:t xml:space="preserve">Notas de seguimiento: </w:t>
      </w:r>
      <w:r>
        <w:rPr>
          <w:sz w:val="20"/>
        </w:rPr>
        <w:t>______________________________________________________________________________</w:t>
      </w:r>
    </w:p>
    <w:p>
      <w:pPr>
        <w:spacing w:after="120"/>
      </w:pPr>
      <w:r>
        <w:rPr>
          <w:sz w:val="20"/>
        </w:rPr>
        <w:t>_______________________________________________________________________________________________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Estado (parcial o total): </w:t>
            </w:r>
            <w:r>
              <w:rPr>
                <w:sz w:val="20"/>
              </w:rPr>
              <w:t>__________</w:t>
            </w:r>
          </w:p>
        </w:tc>
        <w:tc>
          <w:tcPr>
            <w:tcW w:type="dxa" w:w="5100"/>
          </w:tcPr>
          <w:p>
            <w:r/>
            <w:r>
              <w:rPr>
                <w:b/>
                <w:sz w:val="20"/>
              </w:rPr>
              <w:t xml:space="preserve">Fecha de cierre: </w:t>
            </w:r>
            <w:r>
              <w:rPr>
                <w:sz w:val="20"/>
              </w:rPr>
              <w:t>___________________</w:t>
            </w:r>
          </w:p>
        </w:tc>
      </w:tr>
    </w:tbl>
    <w:p>
      <w:pPr>
        <w:spacing w:after="120"/>
      </w:pPr>
      <w:r>
        <w:rPr>
          <w:b/>
          <w:sz w:val="20"/>
        </w:rPr>
        <w:t xml:space="preserve">Retroalimentación al cliente: </w:t>
      </w:r>
      <w:r>
        <w:rPr>
          <w:sz w:val="20"/>
        </w:rPr>
        <w:t>______________________________________________________________________________</w:t>
      </w:r>
    </w:p>
    <w:p>
      <w:pPr>
        <w:keepNext/>
        <w:spacing w:after="3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  <w:tc>
          <w:tcPr>
            <w:tcW w:type="dxa" w:w="5100"/>
          </w:tcPr>
          <w:p>
            <w:pPr>
              <w:jc w:val="center"/>
            </w:pPr>
            <w:r/>
            <w:r>
              <w:rPr>
                <w:sz w:val="20"/>
              </w:rPr>
              <w:t>__________________________</w:t>
            </w:r>
          </w:p>
        </w:tc>
      </w:tr>
      <w:tr>
        <w:tc>
          <w:tcPr>
            <w:tcW w:type="dxa" w:w="51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Atendió · Postventa</w:t>
            </w:r>
          </w:p>
        </w:tc>
        <w:tc>
          <w:tcPr>
            <w:tcW w:type="dxa" w:w="5100"/>
          </w:tcPr>
          <w:p>
            <w:pPr>
              <w:jc w:val="center"/>
            </w:pPr>
            <w:r/>
            <w:r>
              <w:rPr>
                <w:rFonts w:ascii="Calibri" w:hAnsi="Calibri"/>
                <w:b w:val="0"/>
                <w:color w:val="595959"/>
                <w:sz w:val="17"/>
              </w:rPr>
              <w:t>Vo. Bo. · Coordinación de Postventa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Calibri" w:hAnsi="Calibri"/>
        <w:color w:val="595959"/>
        <w:sz w:val="15"/>
      </w:rPr>
      <w:t>SolarPro · Formato de Postventa · FOR-PVM-01 V1.0</w:t>
    </w:r>
    <w:r>
      <w:tab/>
      <w:tab/>
    </w:r>
    <w:r>
      <w:rPr>
        <w:rFonts w:ascii="Calibri" w:hAnsi="Calibri"/>
        <w:color w:val="595959"/>
        <w:sz w:val="15"/>
      </w:rPr>
      <w:t>Elaboró DETA Consultores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