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single" w:sz="6" w:color="000000"/>
          <w:left w:val="single" w:sz="6" w:color="000000"/>
          <w:bottom w:val="single" w:sz="6" w:color="000000"/>
          <w:right w:val="single" w:sz="6" w:color="000000"/>
          <w:insideH w:val="single" w:sz="6" w:color="000000"/>
          <w:insideV w:val="single" w:sz="6" w:color="000000"/>
        </w:tblBorders>
      </w:tblPr>
      <w:tblGrid>
        <w:gridCol w:w="2550"/>
        <w:gridCol w:w="2550"/>
        <w:gridCol w:w="2550"/>
        <w:gridCol w:w="2550"/>
      </w:tblGrid>
      <w:tr>
        <w:tc>
          <w:tcPr>
            <w:tcW w:type="dxa" w:w="2448"/>
            <w:vMerge w:val="restart"/>
          </w:tcPr>
          <w:p>
            <w:pPr>
              <w:jc w:val="center"/>
            </w:pPr>
            <w:r/>
            <w:r>
              <w:drawing>
                <wp:inline xmlns:a="http://schemas.openxmlformats.org/drawingml/2006/main" xmlns:pic="http://schemas.openxmlformats.org/drawingml/2006/picture">
                  <wp:extent cx="1224000" cy="402171"/>
                  <wp:docPr id="1" name="Picture 1"/>
                  <wp:cNvGraphicFramePr>
                    <a:graphicFrameLocks noChangeAspect="1"/>
                  </wp:cNvGraphicFramePr>
                  <a:graphic>
                    <a:graphicData uri="http://schemas.openxmlformats.org/drawingml/2006/picture">
                      <pic:pic>
                        <pic:nvPicPr>
                          <pic:cNvPr id="0" name="paneles-solares-chihuahua-financiamiento-cotizacion-credito-energia-solar-cibanco-solarpro-sustainable-energy-logo.png"/>
                          <pic:cNvPicPr/>
                        </pic:nvPicPr>
                        <pic:blipFill>
                          <a:blip r:embed="rId10"/>
                          <a:stretch>
                            <a:fillRect/>
                          </a:stretch>
                        </pic:blipFill>
                        <pic:spPr>
                          <a:xfrm>
                            <a:off x="0" y="0"/>
                            <a:ext cx="1224000" cy="402171"/>
                          </a:xfrm>
                          <a:prstGeom prst="rect"/>
                        </pic:spPr>
                      </pic:pic>
                    </a:graphicData>
                  </a:graphic>
                </wp:inline>
              </w:drawing>
            </w:r>
          </w:p>
        </w:tc>
        <w:tc>
          <w:tcPr>
            <w:tcW w:type="dxa" w:w="4080"/>
            <w:vMerge w:val="restart"/>
            <w:shd w:val="clear" w:fill="F2F2F2"/>
          </w:tcPr>
          <w:p>
            <w:pPr>
              <w:jc w:val="center"/>
            </w:pPr>
            <w:r/>
            <w:r>
              <w:rPr>
                <w:rFonts w:ascii="Georgia" w:hAnsi="Georgia"/>
                <w:b/>
                <w:sz w:val="26"/>
              </w:rPr>
              <w:t>Vuelo y Levantamiento Técnico</w:t>
            </w:r>
          </w:p>
        </w:tc>
        <w:tc>
          <w:tcPr>
            <w:tcW w:type="dxa" w:w="1836"/>
          </w:tcPr>
          <w:p>
            <w:r/>
            <w:r>
              <w:rPr>
                <w:rFonts w:ascii="Calibri" w:hAnsi="Calibri"/>
                <w:b/>
                <w:sz w:val="15"/>
              </w:rPr>
              <w:t xml:space="preserve">Código: </w:t>
            </w:r>
            <w:r>
              <w:rPr>
                <w:rFonts w:ascii="Calibri" w:hAnsi="Calibri"/>
                <w:sz w:val="15"/>
              </w:rPr>
              <w:t>PRO-ING-02</w:t>
            </w:r>
          </w:p>
        </w:tc>
        <w:tc>
          <w:tcPr>
            <w:tcW w:type="dxa" w:w="1836"/>
          </w:tcPr>
          <w:p>
            <w:r/>
            <w:r>
              <w:rPr>
                <w:rFonts w:ascii="Calibri" w:hAnsi="Calibri"/>
                <w:b/>
                <w:sz w:val="15"/>
              </w:rPr>
              <w:t xml:space="preserve">Versión: </w:t>
            </w:r>
            <w:r>
              <w:rPr>
                <w:rFonts w:ascii="Calibri" w:hAnsi="Calibri"/>
                <w:sz w:val="15"/>
              </w:rPr>
              <w:t>1.0</w:t>
            </w:r>
          </w:p>
        </w:tc>
      </w:tr>
      <w:tr>
        <w:tc>
          <w:tcPr>
            <w:tcW w:type="dxa" w:w="2448"/>
            <w:vMerge/>
          </w:tcPr>
          <w:p/>
        </w:tc>
        <w:tc>
          <w:tcPr>
            <w:tcW w:type="dxa" w:w="4080"/>
            <w:vMerge/>
          </w:tcPr>
          <w:p/>
        </w:tc>
        <w:tc>
          <w:tcPr>
            <w:tcW w:type="dxa" w:w="1836"/>
          </w:tcPr>
          <w:p>
            <w:r/>
            <w:r>
              <w:rPr>
                <w:rFonts w:ascii="Calibri" w:hAnsi="Calibri"/>
                <w:b/>
                <w:sz w:val="15"/>
              </w:rPr>
              <w:t xml:space="preserve">Emisión: </w:t>
            </w:r>
            <w:r>
              <w:rPr>
                <w:rFonts w:ascii="Calibri" w:hAnsi="Calibri"/>
                <w:sz w:val="15"/>
              </w:rPr>
              <w:t>Septiembre 2026</w:t>
            </w:r>
          </w:p>
        </w:tc>
        <w:tc>
          <w:tcPr>
            <w:tcW w:type="dxa" w:w="1836"/>
          </w:tcPr>
          <w:p>
            <w:r/>
            <w:r>
              <w:rPr>
                <w:rFonts w:ascii="Calibri" w:hAnsi="Calibri"/>
                <w:b/>
                <w:sz w:val="15"/>
              </w:rPr>
              <w:t xml:space="preserve">Revisión: </w:t>
            </w:r>
            <w:r>
              <w:rPr>
                <w:rFonts w:ascii="Calibri" w:hAnsi="Calibri"/>
                <w:sz w:val="15"/>
              </w:rPr>
              <w:t>Diciembre 2026</w:t>
            </w:r>
          </w:p>
        </w:tc>
      </w:tr>
      <w:tr>
        <w:tc>
          <w:tcPr>
            <w:tcW w:type="dxa" w:w="2448"/>
            <w:vMerge/>
          </w:tcPr>
          <w:p/>
        </w:tc>
        <w:tc>
          <w:tcPr>
            <w:tcW w:type="dxa" w:w="4080"/>
          </w:tcPr>
          <w:p>
            <w:pPr>
              <w:jc w:val="center"/>
            </w:pPr>
            <w:r/>
            <w:r>
              <w:rPr>
                <w:rFonts w:ascii="Calibri" w:hAnsi="Calibri"/>
                <w:b w:val="0"/>
                <w:color w:val="595959"/>
                <w:sz w:val="16"/>
              </w:rPr>
              <w:t>Procedimiento de Ingeniería</w:t>
            </w:r>
          </w:p>
        </w:tc>
        <w:tc>
          <w:tcPr>
            <w:tcW w:type="dxa" w:w="1836"/>
          </w:tcPr>
          <w:p>
            <w:r/>
            <w:r>
              <w:rPr>
                <w:rFonts w:ascii="Calibri" w:hAnsi="Calibri"/>
                <w:b/>
                <w:sz w:val="15"/>
              </w:rPr>
              <w:t xml:space="preserve">Estado: </w:t>
            </w:r>
            <w:r>
              <w:rPr>
                <w:rFonts w:ascii="Calibri" w:hAnsi="Calibri"/>
                <w:sz w:val="15"/>
              </w:rPr>
              <w:t>Borrador para validación</w:t>
            </w:r>
          </w:p>
        </w:tc>
        <w:tc>
          <w:tcPr>
            <w:tcW w:type="dxa" w:w="1836"/>
          </w:tcPr>
          <w:p>
            <w:r/>
            <w:r>
              <w:rPr>
                <w:rFonts w:ascii="Calibri" w:hAnsi="Calibri"/>
                <w:b/>
                <w:sz w:val="15"/>
              </w:rPr>
              <w:t xml:space="preserve">Página: </w:t>
            </w:r>
            <w:r>
              <w:rPr>
                <w:rFonts w:ascii="Calibri" w:hAnsi="Calibri"/>
                <w:sz w:val="15"/>
              </w:rPr>
              <w:fldChar w:fldCharType="begin"/>
            </w:r>
            <w:r>
              <w:rPr>
                <w:rFonts w:ascii="Calibri" w:hAnsi="Calibri"/>
                <w:sz w:val="15"/>
              </w:rPr>
              <w:instrText xml:space="preserve"> PAGE </w:instrText>
            </w:r>
            <w:r>
              <w:fldChar w:fldCharType="separate"/>
            </w:r>
            <w:r>
              <w:rPr>
                <w:rFonts w:ascii="Calibri" w:hAnsi="Calibri"/>
                <w:sz w:val="15"/>
              </w:rPr>
              <w:t>1</w:t>
            </w:r>
            <w:r>
              <w:fldChar w:fldCharType="end"/>
            </w:r>
            <w:r>
              <w:rPr>
                <w:rFonts w:ascii="Calibri" w:hAnsi="Calibri"/>
                <w:sz w:val="15"/>
              </w:rPr>
              <w:t xml:space="preserve"> de </w:t>
            </w:r>
            <w:r>
              <w:rPr>
                <w:rFonts w:ascii="Calibri" w:hAnsi="Calibri"/>
                <w:sz w:val="15"/>
              </w:rPr>
              <w:fldChar w:fldCharType="begin"/>
            </w:r>
            <w:r>
              <w:rPr>
                <w:rFonts w:ascii="Calibri" w:hAnsi="Calibri"/>
                <w:sz w:val="15"/>
              </w:rPr>
              <w:instrText xml:space="preserve"> NUMPAGES </w:instrText>
            </w:r>
            <w:r>
              <w:fldChar w:fldCharType="separate"/>
            </w:r>
            <w:r>
              <w:rPr>
                <w:rFonts w:ascii="Calibri" w:hAnsi="Calibri"/>
                <w:sz w:val="15"/>
              </w:rPr>
              <w:t>1</w:t>
            </w:r>
            <w:r>
              <w:fldChar w:fldCharType="end"/>
            </w:r>
          </w:p>
        </w:tc>
      </w:tr>
      <w:tr>
        <w:tc>
          <w:tcPr>
            <w:tcW w:type="dxa" w:w="2448"/>
            <w:vMerge/>
          </w:tcPr>
          <w:p/>
        </w:tc>
        <w:tc>
          <w:tcPr>
            <w:tcW w:type="dxa" w:w="4080"/>
          </w:tcPr>
          <w:p>
            <w:pPr>
              <w:jc w:val="center"/>
            </w:pPr>
            <w:r/>
            <w:r>
              <w:rPr>
                <w:rFonts w:ascii="Calibri" w:hAnsi="Calibri"/>
                <w:b w:val="0"/>
                <w:color w:val="595959"/>
                <w:sz w:val="16"/>
              </w:rPr>
              <w:t>Cláusula ISO 9001: 8.5.1</w:t>
            </w:r>
          </w:p>
        </w:tc>
        <w:tc>
          <w:tcPr>
            <w:tcW w:type="dxa" w:w="1836"/>
          </w:tcPr>
          <w:p>
            <w:r/>
            <w:r>
              <w:rPr>
                <w:rFonts w:ascii="Calibri" w:hAnsi="Calibri"/>
                <w:b/>
                <w:sz w:val="15"/>
              </w:rPr>
              <w:t xml:space="preserve">Propietario: </w:t>
            </w:r>
            <w:r>
              <w:rPr>
                <w:rFonts w:ascii="Calibri" w:hAnsi="Calibri"/>
                <w:sz w:val="15"/>
              </w:rPr>
              <w:t>Coordinación de Ingeniería</w:t>
            </w:r>
          </w:p>
        </w:tc>
        <w:tc>
          <w:tcPr>
            <w:tcW w:type="dxa" w:w="1836"/>
          </w:tcPr>
          <w:p>
            <w:r/>
            <w:r>
              <w:rPr>
                <w:rFonts w:ascii="Calibri" w:hAnsi="Calibri"/>
                <w:b/>
                <w:sz w:val="15"/>
              </w:rPr>
              <w:t xml:space="preserve">Elaboró: </w:t>
            </w:r>
            <w:r>
              <w:rPr>
                <w:rFonts w:ascii="Calibri" w:hAnsi="Calibri"/>
                <w:sz w:val="15"/>
              </w:rPr>
              <w:t>DETA Consultores</w:t>
            </w:r>
          </w:p>
        </w:tc>
      </w:tr>
    </w:tbl>
    <w:p>
      <w:pPr>
        <w:spacing w:before="40" w:after="160"/>
        <w:pBdr>
          <w:bottom w:val="single" w:sz="18" w:color="F0E528"/>
        </w:pBdr>
      </w:pPr>
    </w:p>
    <w:tbl>
      <w:tblPr>
        <w:tblW w:type="auto" w:w="0"/>
        <w:tblLook w:firstColumn="1" w:firstRow="1" w:lastColumn="0" w:lastRow="0" w:noHBand="0" w:noVBand="1" w:val="04A0"/>
        <w:tblBorders>
          <w:left w:val="single" w:sz="16" w:color="F0E528"/>
        </w:tblBorders>
      </w:tblPr>
      <w:tblGrid>
        <w:gridCol w:w="10200"/>
      </w:tblGrid>
      <w:tr>
        <w:tc>
          <w:tcPr>
            <w:tcW w:type="dxa" w:w="10200"/>
            <w:shd w:val="clear" w:fill="FFF9DB"/>
          </w:tcPr>
          <w:p>
            <w:r/>
            <w:r>
              <w:rPr>
                <w:rFonts w:ascii="Calibri" w:hAnsi="Calibri"/>
                <w:b w:val="0"/>
                <w:color w:val="003D80"/>
                <w:sz w:val="17"/>
              </w:rPr>
              <w:t>Importante: El acceso a la instalación sin el cliente presente requiere autorización documentada previa. Si no hay autorización, el ingeniero detiene la visita y escala a Gerencia Administrativa; no se toman decisiones unilaterales en campo. Sin el PDF del checklist cargado en Trello la actividad no se considera cerrada y no procede el pago de comisión.</w:t>
            </w:r>
          </w:p>
        </w:tc>
      </w:tr>
    </w:tbl>
    <w:p>
      <w:pPr>
        <w:spacing w:after="40"/>
      </w:pPr>
    </w:p>
    <w:p>
      <w:pPr>
        <w:keepNext/>
        <w:spacing w:before="240" w:after="80"/>
        <w:pBdr>
          <w:bottom w:val="single" w:sz="8" w:color="F0E528"/>
        </w:pBdr>
      </w:pPr>
      <w:r>
        <w:rPr>
          <w:rFonts w:ascii="Georgia" w:hAnsi="Georgia"/>
          <w:b/>
          <w:color w:val="0056B4"/>
          <w:sz w:val="22"/>
        </w:rPr>
        <w:t>1. OBJETIVO</w:t>
      </w:r>
    </w:p>
    <w:p>
      <w:pPr>
        <w:spacing w:after="120"/>
      </w:pPr>
      <w:r>
        <w:rPr>
          <w:rFonts w:ascii="Calibri" w:hAnsi="Calibri"/>
          <w:color w:val="1C242E"/>
          <w:sz w:val="21"/>
        </w:rPr>
        <w:t>Estandarizar la ejecución del vuelo con dron y el levantamiento técnico eléctrico en sitio, verificando la autorización de acceso y registrando la evidencia en el checklist de vuelo, como insumo para el diseño eléctrico.</w:t>
      </w:r>
    </w:p>
    <w:p>
      <w:pPr>
        <w:keepNext/>
        <w:spacing w:before="240" w:after="80"/>
        <w:pBdr>
          <w:bottom w:val="single" w:sz="8" w:color="F0E528"/>
        </w:pBdr>
      </w:pPr>
      <w:r>
        <w:rPr>
          <w:rFonts w:ascii="Georgia" w:hAnsi="Georgia"/>
          <w:b/>
          <w:color w:val="0056B4"/>
          <w:sz w:val="22"/>
        </w:rPr>
        <w:t>2. ALCANCE</w:t>
      </w:r>
    </w:p>
    <w:p>
      <w:pPr>
        <w:spacing w:after="120"/>
      </w:pPr>
      <w:r>
        <w:rPr>
          <w:rFonts w:ascii="Calibri" w:hAnsi="Calibri"/>
          <w:color w:val="1C242E"/>
          <w:sz w:val="21"/>
        </w:rPr>
        <w:t>Aplica a la visita de levantamiento de todo proyecto con visita ya confirmada. Cubre desde la verificación del acceso al sitio hasta la carga del checklist de vuelo en la tarjeta de Trello. Chihuahua y Ciudad Juárez.</w:t>
      </w:r>
    </w:p>
    <w:p>
      <w:pPr>
        <w:keepNext/>
        <w:spacing w:before="240" w:after="80"/>
        <w:pBdr>
          <w:bottom w:val="single" w:sz="8" w:color="F0E528"/>
        </w:pBdr>
      </w:pPr>
      <w:r>
        <w:rPr>
          <w:rFonts w:ascii="Georgia" w:hAnsi="Georgia"/>
          <w:b/>
          <w:color w:val="0056B4"/>
          <w:sz w:val="22"/>
        </w:rPr>
        <w:t>3. DEFINICIONES Y ABREVIATURAS</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5100"/>
        <w:gridCol w:w="5100"/>
      </w:tblGrid>
      <w:tr>
        <w:tc>
          <w:tcPr>
            <w:tcW w:type="dxa" w:w="2856"/>
            <w:shd w:val="clear" w:fill="0056B4"/>
          </w:tcPr>
          <w:p>
            <w:pPr>
              <w:jc w:val="center"/>
            </w:pPr>
            <w:r/>
            <w:r>
              <w:rPr>
                <w:rFonts w:ascii="Calibri" w:hAnsi="Calibri"/>
                <w:b/>
                <w:color w:val="FFFFFF"/>
                <w:sz w:val="17"/>
              </w:rPr>
              <w:t>Término</w:t>
            </w:r>
          </w:p>
        </w:tc>
        <w:tc>
          <w:tcPr>
            <w:tcW w:type="dxa" w:w="7344"/>
            <w:shd w:val="clear" w:fill="0056B4"/>
          </w:tcPr>
          <w:p>
            <w:pPr>
              <w:jc w:val="center"/>
            </w:pPr>
            <w:r/>
            <w:r>
              <w:rPr>
                <w:rFonts w:ascii="Calibri" w:hAnsi="Calibri"/>
                <w:b/>
                <w:color w:val="FFFFFF"/>
                <w:sz w:val="17"/>
              </w:rPr>
              <w:t>Definición</w:t>
            </w:r>
          </w:p>
        </w:tc>
      </w:tr>
      <w:tr>
        <w:tc>
          <w:tcPr>
            <w:tcW w:type="dxa" w:w="2856"/>
          </w:tcPr>
          <w:p>
            <w:r/>
            <w:r>
              <w:rPr>
                <w:rFonts w:ascii="Calibri" w:hAnsi="Calibri"/>
                <w:b w:val="0"/>
                <w:sz w:val="19"/>
              </w:rPr>
              <w:t>Levantamiento técnico</w:t>
            </w:r>
          </w:p>
        </w:tc>
        <w:tc>
          <w:tcPr>
            <w:tcW w:type="dxa" w:w="7344"/>
          </w:tcPr>
          <w:p>
            <w:r/>
            <w:r>
              <w:rPr>
                <w:rFonts w:ascii="Calibri" w:hAnsi="Calibri"/>
                <w:b w:val="0"/>
                <w:sz w:val="19"/>
              </w:rPr>
              <w:t>Medición en sitio de transformador, voltaje, calibre, ITM, tipo de techo, polines y referencias para el render.</w:t>
            </w:r>
          </w:p>
        </w:tc>
      </w:tr>
      <w:tr>
        <w:tc>
          <w:tcPr>
            <w:tcW w:type="dxa" w:w="2856"/>
          </w:tcPr>
          <w:p>
            <w:r/>
            <w:r>
              <w:rPr>
                <w:rFonts w:ascii="Calibri" w:hAnsi="Calibri"/>
                <w:b w:val="0"/>
                <w:sz w:val="19"/>
              </w:rPr>
              <w:t>FOR-ING-02</w:t>
            </w:r>
          </w:p>
        </w:tc>
        <w:tc>
          <w:tcPr>
            <w:tcW w:type="dxa" w:w="7344"/>
          </w:tcPr>
          <w:p>
            <w:r/>
            <w:r>
              <w:rPr>
                <w:rFonts w:ascii="Calibri" w:hAnsi="Calibri"/>
                <w:b w:val="0"/>
                <w:sz w:val="19"/>
              </w:rPr>
              <w:t>Checklist de vuelo (antes FOR-VUE-001): registro del levantamiento técnico con evidencia fotográfica.</w:t>
            </w:r>
          </w:p>
        </w:tc>
      </w:tr>
      <w:tr>
        <w:tc>
          <w:tcPr>
            <w:tcW w:type="dxa" w:w="2856"/>
          </w:tcPr>
          <w:p>
            <w:r/>
            <w:r>
              <w:rPr>
                <w:rFonts w:ascii="Calibri" w:hAnsi="Calibri"/>
                <w:b w:val="0"/>
                <w:sz w:val="19"/>
              </w:rPr>
              <w:t>Autorización de acceso</w:t>
            </w:r>
          </w:p>
        </w:tc>
        <w:tc>
          <w:tcPr>
            <w:tcW w:type="dxa" w:w="7344"/>
          </w:tcPr>
          <w:p>
            <w:r/>
            <w:r>
              <w:rPr>
                <w:rFonts w:ascii="Calibri" w:hAnsi="Calibri"/>
                <w:b w:val="0"/>
                <w:sz w:val="19"/>
              </w:rPr>
              <w:t>Consentimiento documentado del cliente, por WhatsApp o correo, para ingresar al centro de carga y al techo.</w:t>
            </w:r>
          </w:p>
        </w:tc>
      </w:tr>
    </w:tbl>
    <w:p>
      <w:pPr>
        <w:keepNext/>
        <w:spacing w:before="240" w:after="80"/>
        <w:pBdr>
          <w:bottom w:val="single" w:sz="8" w:color="F0E528"/>
        </w:pBdr>
      </w:pPr>
      <w:r>
        <w:rPr>
          <w:rFonts w:ascii="Georgia" w:hAnsi="Georgia"/>
          <w:b/>
          <w:color w:val="0056B4"/>
          <w:sz w:val="22"/>
        </w:rPr>
        <w:t>4. DOCUMENTOS DE REFERENCIA</w:t>
      </w:r>
    </w:p>
    <w:p>
      <w:pPr>
        <w:pStyle w:val="ListBullet"/>
      </w:pPr>
      <w:r>
        <w:rPr>
          <w:rFonts w:ascii="Calibri" w:hAnsi="Calibri"/>
          <w:sz w:val="20"/>
        </w:rPr>
        <w:t>ISO 9001:2015 cláusula 8.5.1 (control de la producción y provisión del servicio)</w:t>
      </w:r>
    </w:p>
    <w:p>
      <w:pPr>
        <w:pStyle w:val="ListBullet"/>
      </w:pPr>
      <w:r>
        <w:rPr>
          <w:rFonts w:ascii="Calibri" w:hAnsi="Calibri"/>
          <w:sz w:val="20"/>
        </w:rPr>
        <w:t>SOL-PROC-001 Proceso Comercial-Ingeniería-Postventa, fase 7.2 (documento origen)</w:t>
      </w:r>
    </w:p>
    <w:p>
      <w:pPr>
        <w:pStyle w:val="ListBullet"/>
      </w:pPr>
      <w:r>
        <w:rPr>
          <w:rFonts w:ascii="Calibri" w:hAnsi="Calibri"/>
          <w:sz w:val="20"/>
        </w:rPr>
        <w:t>POL-ING-001 Políticas de Ingeniería</w:t>
      </w:r>
    </w:p>
    <w:p>
      <w:pPr>
        <w:pStyle w:val="ListBullet"/>
      </w:pPr>
      <w:r>
        <w:rPr>
          <w:rFonts w:ascii="Calibri" w:hAnsi="Calibri"/>
          <w:sz w:val="20"/>
        </w:rPr>
        <w:t>FOR-ING-02 Checklist de vuelo</w:t>
      </w:r>
    </w:p>
    <w:p>
      <w:pPr>
        <w:keepNext/>
        <w:spacing w:before="240" w:after="80"/>
        <w:pBdr>
          <w:bottom w:val="single" w:sz="8" w:color="F0E528"/>
        </w:pBdr>
      </w:pPr>
      <w:r>
        <w:rPr>
          <w:rFonts w:ascii="Georgia" w:hAnsi="Georgia"/>
          <w:b/>
          <w:color w:val="0056B4"/>
          <w:sz w:val="22"/>
        </w:rPr>
        <w:t>5. RESPONSABILIDADES</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5100"/>
        <w:gridCol w:w="5100"/>
      </w:tblGrid>
      <w:tr>
        <w:tc>
          <w:tcPr>
            <w:tcW w:type="dxa" w:w="3060"/>
            <w:shd w:val="clear" w:fill="0056B4"/>
          </w:tcPr>
          <w:p>
            <w:pPr>
              <w:jc w:val="center"/>
            </w:pPr>
            <w:r/>
            <w:r>
              <w:rPr>
                <w:rFonts w:ascii="Calibri" w:hAnsi="Calibri"/>
                <w:b/>
                <w:color w:val="FFFFFF"/>
                <w:sz w:val="17"/>
              </w:rPr>
              <w:t>Responsable</w:t>
            </w:r>
          </w:p>
        </w:tc>
        <w:tc>
          <w:tcPr>
            <w:tcW w:type="dxa" w:w="7140"/>
            <w:shd w:val="clear" w:fill="0056B4"/>
          </w:tcPr>
          <w:p>
            <w:pPr>
              <w:jc w:val="center"/>
            </w:pPr>
            <w:r/>
            <w:r>
              <w:rPr>
                <w:rFonts w:ascii="Calibri" w:hAnsi="Calibri"/>
                <w:b/>
                <w:color w:val="FFFFFF"/>
                <w:sz w:val="17"/>
              </w:rPr>
              <w:t>Funciones</w:t>
            </w:r>
          </w:p>
        </w:tc>
      </w:tr>
      <w:tr>
        <w:tc>
          <w:tcPr>
            <w:tcW w:type="dxa" w:w="3060"/>
          </w:tcPr>
          <w:p>
            <w:r/>
            <w:r>
              <w:rPr>
                <w:rFonts w:ascii="Calibri" w:hAnsi="Calibri"/>
                <w:b w:val="0"/>
                <w:sz w:val="19"/>
              </w:rPr>
              <w:t>Ingeniero de campo</w:t>
            </w:r>
          </w:p>
        </w:tc>
        <w:tc>
          <w:tcPr>
            <w:tcW w:type="dxa" w:w="7140"/>
          </w:tcPr>
          <w:p>
            <w:r/>
            <w:r>
              <w:rPr>
                <w:rFonts w:ascii="Calibri" w:hAnsi="Calibri"/>
                <w:b w:val="0"/>
                <w:sz w:val="19"/>
              </w:rPr>
              <w:t>Verificar la autorización de acceso  ·  Ejecutar el vuelo con dron  ·  Realizar el levantamiento eléctrico  ·  Llenar FOR-ING-02 con evidencia  ·  Cargar el PDF a Trello</w:t>
            </w:r>
          </w:p>
        </w:tc>
      </w:tr>
      <w:tr>
        <w:tc>
          <w:tcPr>
            <w:tcW w:type="dxa" w:w="3060"/>
          </w:tcPr>
          <w:p>
            <w:r/>
            <w:r>
              <w:rPr>
                <w:rFonts w:ascii="Calibri" w:hAnsi="Calibri"/>
                <w:b w:val="0"/>
                <w:sz w:val="19"/>
              </w:rPr>
              <w:t>Coordinación de Ingeniería</w:t>
            </w:r>
          </w:p>
        </w:tc>
        <w:tc>
          <w:tcPr>
            <w:tcW w:type="dxa" w:w="7140"/>
          </w:tcPr>
          <w:p>
            <w:r/>
            <w:r>
              <w:rPr>
                <w:rFonts w:ascii="Calibri" w:hAnsi="Calibri"/>
                <w:b w:val="0"/>
                <w:sz w:val="19"/>
              </w:rPr>
              <w:t>Resolver las excepciones de acceso y escalar cuando corresponda</w:t>
            </w:r>
          </w:p>
        </w:tc>
      </w:tr>
      <w:tr>
        <w:tc>
          <w:tcPr>
            <w:tcW w:type="dxa" w:w="3060"/>
          </w:tcPr>
          <w:p>
            <w:r/>
            <w:r>
              <w:rPr>
                <w:rFonts w:ascii="Calibri" w:hAnsi="Calibri"/>
                <w:b w:val="0"/>
                <w:sz w:val="19"/>
              </w:rPr>
              <w:t>Gerencia Administrativa</w:t>
            </w:r>
          </w:p>
        </w:tc>
        <w:tc>
          <w:tcPr>
            <w:tcW w:type="dxa" w:w="7140"/>
          </w:tcPr>
          <w:p>
            <w:r/>
            <w:r>
              <w:rPr>
                <w:rFonts w:ascii="Calibri" w:hAnsi="Calibri"/>
                <w:b w:val="0"/>
                <w:sz w:val="19"/>
              </w:rPr>
              <w:t>Resolver los casos frontera de acceso a la instalación</w:t>
            </w:r>
          </w:p>
        </w:tc>
      </w:tr>
    </w:tbl>
    <w:p>
      <w:pPr>
        <w:keepNext/>
        <w:spacing w:before="240" w:after="80"/>
        <w:pBdr>
          <w:bottom w:val="single" w:sz="8" w:color="F0E528"/>
        </w:pBdr>
      </w:pPr>
      <w:r>
        <w:rPr>
          <w:rFonts w:ascii="Georgia" w:hAnsi="Georgia"/>
          <w:b/>
          <w:color w:val="0056B4"/>
          <w:sz w:val="22"/>
        </w:rPr>
        <w:t>6. POLÍTICAS Y LINEAMIENTOS</w:t>
      </w:r>
    </w:p>
    <w:p>
      <w:pPr>
        <w:spacing w:after="100"/>
      </w:pPr>
      <w:r>
        <w:rPr>
          <w:b/>
          <w:color w:val="0056B4"/>
          <w:sz w:val="20"/>
        </w:rPr>
        <w:t xml:space="preserve">Autorización previa. </w:t>
      </w:r>
      <w:r>
        <w:rPr>
          <w:rFonts w:ascii="Calibri" w:hAnsi="Calibri"/>
          <w:sz w:val="20"/>
        </w:rPr>
        <w:t>El acceso sin cliente presente requiere autorización documentada por WhatsApp o correo; sin ella, se detiene la visita y se escala a Gerencia Administrativa.</w:t>
      </w:r>
    </w:p>
    <w:p>
      <w:pPr>
        <w:spacing w:after="100"/>
      </w:pPr>
      <w:r>
        <w:rPr>
          <w:b/>
          <w:color w:val="0056B4"/>
          <w:sz w:val="20"/>
        </w:rPr>
        <w:t xml:space="preserve">Checklist obligatorio. </w:t>
      </w:r>
      <w:r>
        <w:rPr>
          <w:rFonts w:ascii="Calibri" w:hAnsi="Calibri"/>
          <w:sz w:val="20"/>
        </w:rPr>
        <w:t>El levantamiento se registra en FOR-ING-02 con evidencia fotográfica. Sin el PDF en la tarjeta de Trello la visita no se considera cerrada y no procede el pago de comisión.</w:t>
      </w:r>
    </w:p>
    <w:p>
      <w:pPr>
        <w:keepNext/>
        <w:spacing w:before="240" w:after="80"/>
        <w:pBdr>
          <w:bottom w:val="single" w:sz="8" w:color="F0E528"/>
        </w:pBdr>
      </w:pPr>
      <w:r>
        <w:rPr>
          <w:rFonts w:ascii="Georgia" w:hAnsi="Georgia"/>
          <w:b/>
          <w:color w:val="0056B4"/>
          <w:sz w:val="22"/>
        </w:rPr>
        <w:t>7. DESARROLLO DEL PROCEDIMIENTO</w:t>
      </w:r>
    </w:p>
    <w:p>
      <w:pPr>
        <w:spacing w:after="80"/>
      </w:pPr>
      <w:r>
        <w:rPr>
          <w:rFonts w:ascii="Calibri" w:hAnsi="Calibri"/>
          <w:color w:val="1C242E"/>
          <w:sz w:val="20"/>
        </w:rPr>
        <w:t>El procedimiento se desarrolla en fases secuenciales. Cada paso identifica al responsable y, cuando aplica, el registro que debe generarse.</w:t>
      </w:r>
    </w:p>
    <w:p>
      <w:pPr>
        <w:spacing w:before="160" w:after="60"/>
      </w:pPr>
      <w:r>
        <w:rPr>
          <w:b/>
          <w:color w:val="1C242E"/>
          <w:sz w:val="21"/>
        </w:rPr>
        <w:t>Fase 1. Verificación de acceso</w:t>
      </w:r>
    </w:p>
    <w:p>
      <w:pPr>
        <w:spacing w:after="60"/>
        <w:ind w:left="340"/>
      </w:pPr>
      <w:r>
        <w:rPr>
          <w:b/>
          <w:sz w:val="20"/>
        </w:rPr>
        <w:t xml:space="preserve">1. Confirmar la autorización </w:t>
      </w:r>
      <w:r>
        <w:rPr>
          <w:rFonts w:ascii="Calibri" w:hAnsi="Calibri"/>
          <w:sz w:val="20"/>
        </w:rPr>
        <w:t>· Antes de ingresar, el ingeniero confirma la autorización de acceso. Sin autorización, detiene la visita, escala a Gerencia Administrativa y registra la excepción en Trello para reagendar.</w:t>
      </w:r>
    </w:p>
    <w:p>
      <w:pPr>
        <w:spacing w:after="20"/>
        <w:ind w:left="680"/>
      </w:pPr>
      <w:r>
        <w:rPr>
          <w:b/>
          <w:color w:val="595959"/>
          <w:sz w:val="18"/>
        </w:rPr>
        <w:t xml:space="preserve">Responsable: </w:t>
      </w:r>
      <w:r>
        <w:rPr>
          <w:rFonts w:ascii="Calibri" w:hAnsi="Calibri"/>
          <w:color w:val="595959"/>
          <w:sz w:val="18"/>
        </w:rPr>
        <w:t>Ingeniero de campo</w:t>
      </w:r>
    </w:p>
    <w:p>
      <w:pPr>
        <w:spacing w:after="20"/>
        <w:ind w:left="680"/>
      </w:pPr>
      <w:r>
        <w:rPr>
          <w:b/>
          <w:color w:val="595959"/>
          <w:sz w:val="18"/>
        </w:rPr>
        <w:t xml:space="preserve">Control: </w:t>
      </w:r>
      <w:r>
        <w:rPr>
          <w:rFonts w:ascii="Calibri" w:hAnsi="Calibri"/>
          <w:color w:val="595959"/>
          <w:sz w:val="18"/>
        </w:rPr>
        <w:t>Autorización documentada</w:t>
      </w:r>
    </w:p>
    <w:p>
      <w:pPr>
        <w:spacing w:before="160" w:after="60"/>
      </w:pPr>
      <w:r>
        <w:rPr>
          <w:b/>
          <w:color w:val="1C242E"/>
          <w:sz w:val="21"/>
        </w:rPr>
        <w:t>Fase 2. Levantamiento</w:t>
      </w:r>
    </w:p>
    <w:p>
      <w:pPr>
        <w:spacing w:after="60"/>
        <w:ind w:left="340"/>
      </w:pPr>
      <w:r>
        <w:rPr>
          <w:b/>
          <w:sz w:val="20"/>
        </w:rPr>
        <w:t xml:space="preserve">2. Ejecutar el vuelo con dron </w:t>
      </w:r>
      <w:r>
        <w:rPr>
          <w:rFonts w:ascii="Calibri" w:hAnsi="Calibri"/>
          <w:sz w:val="20"/>
        </w:rPr>
        <w:t>· Realizar el vuelo del inmueble y capturar las referencias para el render.</w:t>
      </w:r>
    </w:p>
    <w:p>
      <w:pPr>
        <w:spacing w:after="20"/>
        <w:ind w:left="680"/>
      </w:pPr>
      <w:r>
        <w:rPr>
          <w:b/>
          <w:color w:val="595959"/>
          <w:sz w:val="18"/>
        </w:rPr>
        <w:t xml:space="preserve">Responsable: </w:t>
      </w:r>
      <w:r>
        <w:rPr>
          <w:rFonts w:ascii="Calibri" w:hAnsi="Calibri"/>
          <w:color w:val="595959"/>
          <w:sz w:val="18"/>
        </w:rPr>
        <w:t>Ingeniero de campo</w:t>
      </w:r>
    </w:p>
    <w:p>
      <w:pPr>
        <w:spacing w:after="60"/>
        <w:ind w:left="340"/>
      </w:pPr>
      <w:r>
        <w:rPr>
          <w:b/>
          <w:sz w:val="20"/>
        </w:rPr>
        <w:t xml:space="preserve">3. Realizar el levantamiento eléctrico </w:t>
      </w:r>
      <w:r>
        <w:rPr>
          <w:rFonts w:ascii="Calibri" w:hAnsi="Calibri"/>
          <w:sz w:val="20"/>
        </w:rPr>
        <w:t>· Medir transformador, voltaje, calibre, ITM, tipo de techo, polines e instalación existente.</w:t>
      </w:r>
    </w:p>
    <w:p>
      <w:pPr>
        <w:spacing w:after="20"/>
        <w:ind w:left="680"/>
      </w:pPr>
      <w:r>
        <w:rPr>
          <w:b/>
          <w:color w:val="595959"/>
          <w:sz w:val="18"/>
        </w:rPr>
        <w:t xml:space="preserve">Responsable: </w:t>
      </w:r>
      <w:r>
        <w:rPr>
          <w:rFonts w:ascii="Calibri" w:hAnsi="Calibri"/>
          <w:color w:val="595959"/>
          <w:sz w:val="18"/>
        </w:rPr>
        <w:t>Ingeniero de campo</w:t>
      </w:r>
    </w:p>
    <w:p>
      <w:pPr>
        <w:spacing w:before="160" w:after="60"/>
      </w:pPr>
      <w:r>
        <w:rPr>
          <w:b/>
          <w:color w:val="1C242E"/>
          <w:sz w:val="21"/>
        </w:rPr>
        <w:t>Fase 3. Registro</w:t>
      </w:r>
    </w:p>
    <w:p>
      <w:pPr>
        <w:spacing w:after="60"/>
        <w:ind w:left="340"/>
      </w:pPr>
      <w:r>
        <w:rPr>
          <w:b/>
          <w:sz w:val="20"/>
        </w:rPr>
        <w:t xml:space="preserve">4. Llenar el checklist de vuelo </w:t>
      </w:r>
      <w:r>
        <w:rPr>
          <w:rFonts w:ascii="Calibri" w:hAnsi="Calibri"/>
          <w:sz w:val="20"/>
        </w:rPr>
        <w:t>· Registrar el levantamiento en FOR-ING-02 y capturar la evidencia fotográfica.</w:t>
      </w:r>
    </w:p>
    <w:p>
      <w:pPr>
        <w:spacing w:after="20"/>
        <w:ind w:left="680"/>
      </w:pPr>
      <w:r>
        <w:rPr>
          <w:b/>
          <w:color w:val="595959"/>
          <w:sz w:val="18"/>
        </w:rPr>
        <w:t xml:space="preserve">Responsable: </w:t>
      </w:r>
      <w:r>
        <w:rPr>
          <w:rFonts w:ascii="Calibri" w:hAnsi="Calibri"/>
          <w:color w:val="595959"/>
          <w:sz w:val="18"/>
        </w:rPr>
        <w:t>Ingeniero de campo</w:t>
      </w:r>
    </w:p>
    <w:p>
      <w:pPr>
        <w:spacing w:after="20"/>
        <w:ind w:left="680"/>
      </w:pPr>
      <w:r>
        <w:rPr>
          <w:b/>
          <w:color w:val="595959"/>
          <w:sz w:val="18"/>
        </w:rPr>
        <w:t xml:space="preserve">Registro: </w:t>
      </w:r>
      <w:r>
        <w:rPr>
          <w:rFonts w:ascii="Calibri" w:hAnsi="Calibri"/>
          <w:color w:val="595959"/>
          <w:sz w:val="18"/>
        </w:rPr>
        <w:t>FOR-ING-02</w:t>
      </w:r>
    </w:p>
    <w:p>
      <w:pPr>
        <w:spacing w:after="60"/>
        <w:ind w:left="340"/>
      </w:pPr>
      <w:r>
        <w:rPr>
          <w:b/>
          <w:sz w:val="20"/>
        </w:rPr>
        <w:t xml:space="preserve">5. Cargar la evidencia </w:t>
      </w:r>
      <w:r>
        <w:rPr>
          <w:rFonts w:ascii="Calibri" w:hAnsi="Calibri"/>
          <w:sz w:val="20"/>
        </w:rPr>
        <w:t>· Generar el PDF del checklist con la nomenclatura 'Checklist de vuelo {cliente}_{fecha}.pdf' y cargarlo a la tarjeta de Trello.</w:t>
      </w:r>
    </w:p>
    <w:p>
      <w:pPr>
        <w:spacing w:after="20"/>
        <w:ind w:left="680"/>
      </w:pPr>
      <w:r>
        <w:rPr>
          <w:b/>
          <w:color w:val="595959"/>
          <w:sz w:val="18"/>
        </w:rPr>
        <w:t xml:space="preserve">Responsable: </w:t>
      </w:r>
      <w:r>
        <w:rPr>
          <w:rFonts w:ascii="Calibri" w:hAnsi="Calibri"/>
          <w:color w:val="595959"/>
          <w:sz w:val="18"/>
        </w:rPr>
        <w:t>Ingeniero de campo</w:t>
      </w:r>
    </w:p>
    <w:p>
      <w:pPr>
        <w:spacing w:after="20"/>
        <w:ind w:left="680"/>
      </w:pPr>
      <w:r>
        <w:rPr>
          <w:b/>
          <w:color w:val="595959"/>
          <w:sz w:val="18"/>
        </w:rPr>
        <w:t xml:space="preserve">Control: </w:t>
      </w:r>
      <w:r>
        <w:rPr>
          <w:rFonts w:ascii="Calibri" w:hAnsi="Calibri"/>
          <w:color w:val="595959"/>
          <w:sz w:val="18"/>
        </w:rPr>
        <w:t>PDF en Trello</w:t>
      </w:r>
    </w:p>
    <w:p>
      <w:pPr>
        <w:keepNext/>
        <w:spacing w:before="240" w:after="80"/>
        <w:pBdr>
          <w:bottom w:val="single" w:sz="8" w:color="F0E528"/>
        </w:pBdr>
      </w:pPr>
      <w:r>
        <w:rPr>
          <w:rFonts w:ascii="Georgia" w:hAnsi="Georgia"/>
          <w:b/>
          <w:color w:val="0056B4"/>
          <w:sz w:val="22"/>
        </w:rPr>
        <w:t>8. DIAGRAMA DE FLUJO</w:t>
      </w:r>
    </w:p>
    <w:p>
      <w:pPr>
        <w:jc w:val="center"/>
      </w:pPr>
      <w:r>
        <w:drawing>
          <wp:inline xmlns:a="http://schemas.openxmlformats.org/drawingml/2006/main" xmlns:pic="http://schemas.openxmlformats.org/drawingml/2006/picture">
            <wp:extent cx="4419228" cy="6840000"/>
            <wp:docPr id="2" name="Picture 2"/>
            <wp:cNvGraphicFramePr>
              <a:graphicFrameLocks noChangeAspect="1"/>
            </wp:cNvGraphicFramePr>
            <a:graphic>
              <a:graphicData uri="http://schemas.openxmlformats.org/drawingml/2006/picture">
                <pic:pic>
                  <pic:nvPicPr>
                    <pic:cNvPr id="0" name="pro-ing-02-vuelo.png"/>
                    <pic:cNvPicPr/>
                  </pic:nvPicPr>
                  <pic:blipFill>
                    <a:blip r:embed="rId11"/>
                    <a:stretch>
                      <a:fillRect/>
                    </a:stretch>
                  </pic:blipFill>
                  <pic:spPr>
                    <a:xfrm>
                      <a:off x="0" y="0"/>
                      <a:ext cx="4419228" cy="6840000"/>
                    </a:xfrm>
                    <a:prstGeom prst="rect"/>
                  </pic:spPr>
                </pic:pic>
              </a:graphicData>
            </a:graphic>
          </wp:inline>
        </w:drawing>
      </w:r>
    </w:p>
    <w:p>
      <w:pPr>
        <w:jc w:val="center"/>
      </w:pPr>
      <w:r>
        <w:rPr>
          <w:i/>
          <w:color w:val="595959"/>
          <w:sz w:val="17"/>
        </w:rPr>
        <w:t>De la verificación de acceso al registro del checklist de vuelo.</w:t>
      </w:r>
    </w:p>
    <w:p>
      <w:pPr>
        <w:keepNext/>
        <w:spacing w:before="240" w:after="80"/>
        <w:pBdr>
          <w:bottom w:val="single" w:sz="8" w:color="F0E528"/>
        </w:pBdr>
      </w:pPr>
      <w:r>
        <w:rPr>
          <w:rFonts w:ascii="Georgia" w:hAnsi="Georgia"/>
          <w:b/>
          <w:color w:val="0056B4"/>
          <w:sz w:val="22"/>
        </w:rPr>
        <w:t>9. REGISTROS Y FORMATOS ASOCIADOS</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5100"/>
        <w:gridCol w:w="5100"/>
      </w:tblGrid>
      <w:tr>
        <w:tc>
          <w:tcPr>
            <w:tcW w:type="dxa" w:w="2856"/>
            <w:shd w:val="clear" w:fill="0056B4"/>
          </w:tcPr>
          <w:p>
            <w:pPr>
              <w:jc w:val="center"/>
            </w:pPr>
            <w:r/>
            <w:r>
              <w:rPr>
                <w:rFonts w:ascii="Calibri" w:hAnsi="Calibri"/>
                <w:b/>
                <w:color w:val="FFFFFF"/>
                <w:sz w:val="17"/>
              </w:rPr>
              <w:t>Código</w:t>
            </w:r>
          </w:p>
        </w:tc>
        <w:tc>
          <w:tcPr>
            <w:tcW w:type="dxa" w:w="7344"/>
            <w:shd w:val="clear" w:fill="0056B4"/>
          </w:tcPr>
          <w:p>
            <w:pPr>
              <w:jc w:val="center"/>
            </w:pPr>
            <w:r/>
            <w:r>
              <w:rPr>
                <w:rFonts w:ascii="Calibri" w:hAnsi="Calibri"/>
                <w:b/>
                <w:color w:val="FFFFFF"/>
                <w:sz w:val="17"/>
              </w:rPr>
              <w:t>Formato</w:t>
            </w:r>
          </w:p>
        </w:tc>
      </w:tr>
      <w:tr>
        <w:tc>
          <w:tcPr>
            <w:tcW w:type="dxa" w:w="2856"/>
          </w:tcPr>
          <w:p>
            <w:r/>
            <w:r>
              <w:rPr>
                <w:rFonts w:ascii="Calibri" w:hAnsi="Calibri"/>
                <w:b w:val="0"/>
                <w:sz w:val="19"/>
              </w:rPr>
              <w:t>FOR-ING-02</w:t>
            </w:r>
          </w:p>
        </w:tc>
        <w:tc>
          <w:tcPr>
            <w:tcW w:type="dxa" w:w="7344"/>
          </w:tcPr>
          <w:p>
            <w:r/>
            <w:r>
              <w:rPr>
                <w:rFonts w:ascii="Calibri" w:hAnsi="Calibri"/>
                <w:b w:val="0"/>
                <w:sz w:val="19"/>
              </w:rPr>
              <w:t>Checklist de vuelo (antes FOR-VUE-001)</w:t>
            </w:r>
          </w:p>
        </w:tc>
      </w:tr>
    </w:tbl>
    <w:p>
      <w:pPr>
        <w:keepNext/>
        <w:spacing w:before="240" w:after="80"/>
        <w:pBdr>
          <w:bottom w:val="single" w:sz="8" w:color="F0E528"/>
        </w:pBdr>
      </w:pPr>
      <w:r>
        <w:rPr>
          <w:rFonts w:ascii="Georgia" w:hAnsi="Georgia"/>
          <w:b/>
          <w:color w:val="0056B4"/>
          <w:sz w:val="22"/>
        </w:rPr>
        <w:t>10. CONTROL DE CAMBIOS</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2550"/>
        <w:gridCol w:w="2550"/>
        <w:gridCol w:w="2550"/>
        <w:gridCol w:w="2550"/>
      </w:tblGrid>
      <w:tr>
        <w:tc>
          <w:tcPr>
            <w:tcW w:type="dxa" w:w="1224"/>
            <w:shd w:val="clear" w:fill="0056B4"/>
          </w:tcPr>
          <w:p>
            <w:pPr>
              <w:jc w:val="center"/>
            </w:pPr>
            <w:r/>
            <w:r>
              <w:rPr>
                <w:rFonts w:ascii="Calibri" w:hAnsi="Calibri"/>
                <w:b/>
                <w:color w:val="FFFFFF"/>
                <w:sz w:val="17"/>
              </w:rPr>
              <w:t>Versión</w:t>
            </w:r>
          </w:p>
        </w:tc>
        <w:tc>
          <w:tcPr>
            <w:tcW w:type="dxa" w:w="1632"/>
            <w:shd w:val="clear" w:fill="0056B4"/>
          </w:tcPr>
          <w:p>
            <w:pPr>
              <w:jc w:val="center"/>
            </w:pPr>
            <w:r/>
            <w:r>
              <w:rPr>
                <w:rFonts w:ascii="Calibri" w:hAnsi="Calibri"/>
                <w:b/>
                <w:color w:val="FFFFFF"/>
                <w:sz w:val="17"/>
              </w:rPr>
              <w:t>Fecha</w:t>
            </w:r>
          </w:p>
        </w:tc>
        <w:tc>
          <w:tcPr>
            <w:tcW w:type="dxa" w:w="5712"/>
            <w:shd w:val="clear" w:fill="0056B4"/>
          </w:tcPr>
          <w:p>
            <w:pPr>
              <w:jc w:val="center"/>
            </w:pPr>
            <w:r/>
            <w:r>
              <w:rPr>
                <w:rFonts w:ascii="Calibri" w:hAnsi="Calibri"/>
                <w:b/>
                <w:color w:val="FFFFFF"/>
                <w:sz w:val="17"/>
              </w:rPr>
              <w:t>Descripción del cambio</w:t>
            </w:r>
          </w:p>
        </w:tc>
        <w:tc>
          <w:tcPr>
            <w:tcW w:type="dxa" w:w="1632"/>
            <w:shd w:val="clear" w:fill="0056B4"/>
          </w:tcPr>
          <w:p>
            <w:pPr>
              <w:jc w:val="center"/>
            </w:pPr>
            <w:r/>
            <w:r>
              <w:rPr>
                <w:rFonts w:ascii="Calibri" w:hAnsi="Calibri"/>
                <w:b/>
                <w:color w:val="FFFFFF"/>
                <w:sz w:val="17"/>
              </w:rPr>
              <w:t>Elaboró</w:t>
            </w:r>
          </w:p>
        </w:tc>
      </w:tr>
      <w:tr>
        <w:tc>
          <w:tcPr>
            <w:tcW w:type="dxa" w:w="1224"/>
          </w:tcPr>
          <w:p>
            <w:r/>
            <w:r>
              <w:rPr>
                <w:rFonts w:ascii="Calibri" w:hAnsi="Calibri"/>
                <w:b w:val="0"/>
                <w:sz w:val="19"/>
              </w:rPr>
              <w:t>1.0</w:t>
            </w:r>
          </w:p>
        </w:tc>
        <w:tc>
          <w:tcPr>
            <w:tcW w:type="dxa" w:w="1632"/>
          </w:tcPr>
          <w:p>
            <w:r/>
            <w:r>
              <w:rPr>
                <w:rFonts w:ascii="Calibri" w:hAnsi="Calibri"/>
                <w:b w:val="0"/>
                <w:sz w:val="19"/>
              </w:rPr>
              <w:t>Septiembre 2026</w:t>
            </w:r>
          </w:p>
        </w:tc>
        <w:tc>
          <w:tcPr>
            <w:tcW w:type="dxa" w:w="5712"/>
          </w:tcPr>
          <w:p>
            <w:r/>
            <w:r>
              <w:rPr>
                <w:rFonts w:ascii="Calibri" w:hAnsi="Calibri"/>
                <w:b w:val="0"/>
                <w:sz w:val="19"/>
              </w:rPr>
              <w:t>Emisión inicial. Descompone la fase 7.2 de SOL-PROC-001. Revisión trimestral.</w:t>
            </w:r>
          </w:p>
        </w:tc>
        <w:tc>
          <w:tcPr>
            <w:tcW w:type="dxa" w:w="1632"/>
          </w:tcPr>
          <w:p>
            <w:r/>
            <w:r>
              <w:rPr>
                <w:rFonts w:ascii="Calibri" w:hAnsi="Calibri"/>
                <w:b w:val="0"/>
                <w:sz w:val="19"/>
              </w:rPr>
              <w:t>DETA Consultores</w:t>
            </w:r>
          </w:p>
        </w:tc>
      </w:tr>
    </w:tbl>
    <w:p>
      <w:pPr>
        <w:keepNext/>
        <w:spacing w:before="240" w:after="80"/>
        <w:pBdr>
          <w:bottom w:val="single" w:sz="8" w:color="F0E528"/>
        </w:pBdr>
      </w:pPr>
      <w:r>
        <w:rPr>
          <w:rFonts w:ascii="Georgia" w:hAnsi="Georgia"/>
          <w:b/>
          <w:color w:val="0056B4"/>
          <w:sz w:val="22"/>
        </w:rPr>
        <w:t>11. CONTROL DE FIRMAS</w:t>
      </w:r>
    </w:p>
    <w:p>
      <w:pPr>
        <w:spacing w:after="120"/>
      </w:pPr>
    </w:p>
    <w:p>
      <w:pPr>
        <w:keepNext/>
        <w:spacing w:after="320"/>
      </w:pPr>
    </w:p>
    <w:tbl>
      <w:tblPr>
        <w:tblW w:type="auto" w:w="0"/>
        <w:tblLook w:firstColumn="1" w:firstRow="1" w:lastColumn="0" w:lastRow="0" w:noHBand="0" w:noVBand="1" w:val="04A0"/>
      </w:tblPr>
      <w:tblGrid>
        <w:gridCol w:w="3400"/>
        <w:gridCol w:w="3400"/>
        <w:gridCol w:w="3400"/>
      </w:tblGrid>
      <w:tr>
        <w:tc>
          <w:tcPr>
            <w:tcW w:type="dxa" w:w="3400"/>
          </w:tcPr>
          <w:p>
            <w:pPr>
              <w:jc w:val="center"/>
            </w:pPr>
            <w:r/>
            <w:r>
              <w:rPr>
                <w:sz w:val="20"/>
              </w:rPr>
              <w:t>__________________________</w:t>
            </w:r>
          </w:p>
        </w:tc>
        <w:tc>
          <w:tcPr>
            <w:tcW w:type="dxa" w:w="3400"/>
          </w:tcPr>
          <w:p>
            <w:pPr>
              <w:jc w:val="center"/>
            </w:pPr>
            <w:r/>
            <w:r>
              <w:rPr>
                <w:sz w:val="20"/>
              </w:rPr>
              <w:t>__________________________</w:t>
            </w:r>
          </w:p>
        </w:tc>
        <w:tc>
          <w:tcPr>
            <w:tcW w:type="dxa" w:w="3400"/>
          </w:tcPr>
          <w:p>
            <w:pPr>
              <w:jc w:val="center"/>
            </w:pPr>
            <w:r/>
            <w:r>
              <w:rPr>
                <w:sz w:val="20"/>
              </w:rPr>
              <w:t>__________________________</w:t>
            </w:r>
          </w:p>
        </w:tc>
      </w:tr>
      <w:tr>
        <w:tc>
          <w:tcPr>
            <w:tcW w:type="dxa" w:w="3400"/>
          </w:tcPr>
          <w:p>
            <w:pPr>
              <w:jc w:val="center"/>
            </w:pPr>
            <w:r/>
            <w:r>
              <w:rPr>
                <w:rFonts w:ascii="Calibri" w:hAnsi="Calibri"/>
                <w:b w:val="0"/>
                <w:color w:val="595959"/>
                <w:sz w:val="17"/>
              </w:rPr>
              <w:t>Elaboró</w:t>
              <w:br/>
              <w:t>DETA Consultores</w:t>
            </w:r>
          </w:p>
        </w:tc>
        <w:tc>
          <w:tcPr>
            <w:tcW w:type="dxa" w:w="3400"/>
          </w:tcPr>
          <w:p>
            <w:pPr>
              <w:jc w:val="center"/>
            </w:pPr>
            <w:r/>
            <w:r>
              <w:rPr>
                <w:rFonts w:ascii="Calibri" w:hAnsi="Calibri"/>
                <w:b w:val="0"/>
                <w:color w:val="595959"/>
                <w:sz w:val="17"/>
              </w:rPr>
              <w:t>Revisó</w:t>
              <w:br/>
              <w:t>Coordinación de Ingeniería</w:t>
            </w:r>
          </w:p>
        </w:tc>
        <w:tc>
          <w:tcPr>
            <w:tcW w:type="dxa" w:w="3400"/>
          </w:tcPr>
          <w:p>
            <w:pPr>
              <w:jc w:val="center"/>
            </w:pPr>
            <w:r/>
            <w:r>
              <w:rPr>
                <w:rFonts w:ascii="Calibri" w:hAnsi="Calibri"/>
                <w:b w:val="0"/>
                <w:color w:val="595959"/>
                <w:sz w:val="17"/>
              </w:rPr>
              <w:t>Aprobó</w:t>
              <w:br/>
              <w:t>Dirección General</w:t>
            </w:r>
          </w:p>
        </w:tc>
      </w:tr>
    </w:tbl>
    <w:sectPr w:rsidR="00FC693F" w:rsidRPr="0006063C" w:rsidSect="00034616">
      <w:footerReference w:type="default" r:id="rId9"/>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ascii="Calibri" w:hAnsi="Calibri"/>
        <w:color w:val="595959"/>
        <w:sz w:val="15"/>
      </w:rPr>
      <w:t>SolarPro · Procedimiento de Ingeniería · PRO-ING-02 V1.0</w:t>
    </w:r>
    <w:r>
      <w:tab/>
      <w:tab/>
    </w:r>
    <w:r>
      <w:rPr>
        <w:rFonts w:ascii="Calibri" w:hAnsi="Calibri"/>
        <w:color w:val="595959"/>
        <w:sz w:val="15"/>
      </w:rPr>
      <w:t>Elaboró DETA Consultores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